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pacing w:val="-8"/>
          <w:sz w:val="30"/>
          <w:szCs w:val="30"/>
        </w:rPr>
      </w:pPr>
      <w:r>
        <w:rPr>
          <w:rFonts w:hint="eastAsia" w:ascii="仿宋" w:hAnsi="仿宋" w:eastAsia="仿宋"/>
          <w:b/>
          <w:bCs/>
          <w:spacing w:val="-8"/>
          <w:sz w:val="30"/>
          <w:szCs w:val="30"/>
        </w:rPr>
        <w:t>常州大学</w:t>
      </w:r>
      <w:r>
        <w:rPr>
          <w:rFonts w:hint="eastAsia" w:ascii="仿宋" w:hAnsi="仿宋" w:eastAsia="仿宋"/>
          <w:b/>
          <w:bCs/>
          <w:spacing w:val="-8"/>
          <w:sz w:val="30"/>
          <w:szCs w:val="30"/>
          <w:lang w:val="en-US" w:eastAsia="zh-CN"/>
        </w:rPr>
        <w:t>商学院 刘国钧管理学院</w:t>
      </w:r>
      <w:r>
        <w:rPr>
          <w:rFonts w:hint="eastAsia" w:ascii="仿宋" w:hAnsi="仿宋" w:eastAsia="仿宋"/>
          <w:b/>
          <w:bCs/>
          <w:spacing w:val="-8"/>
          <w:sz w:val="30"/>
          <w:szCs w:val="30"/>
        </w:rPr>
        <w:t>研究生综合评定指导性量化细则暂行办法</w:t>
      </w:r>
    </w:p>
    <w:p>
      <w:pPr>
        <w:jc w:val="left"/>
        <w:rPr>
          <w:rFonts w:ascii="仿宋" w:hAnsi="仿宋" w:eastAsia="仿宋"/>
          <w:sz w:val="28"/>
          <w:szCs w:val="28"/>
        </w:rPr>
      </w:pPr>
      <w:r>
        <w:rPr>
          <w:rFonts w:hint="eastAsia" w:ascii="仿宋" w:hAnsi="仿宋" w:eastAsia="仿宋"/>
          <w:sz w:val="28"/>
          <w:szCs w:val="28"/>
          <w:lang w:val="en-US" w:eastAsia="zh-CN"/>
        </w:rPr>
        <w:t>各位研究生</w:t>
      </w:r>
      <w:r>
        <w:rPr>
          <w:rFonts w:hint="eastAsia" w:ascii="仿宋" w:hAnsi="仿宋" w:eastAsia="仿宋"/>
          <w:sz w:val="28"/>
          <w:szCs w:val="28"/>
        </w:rPr>
        <w:t>:</w:t>
      </w:r>
    </w:p>
    <w:p>
      <w:pPr>
        <w:ind w:firstLine="560" w:firstLineChars="200"/>
        <w:jc w:val="left"/>
        <w:rPr>
          <w:rFonts w:ascii="仿宋" w:hAnsi="仿宋" w:eastAsia="仿宋"/>
          <w:sz w:val="28"/>
          <w:szCs w:val="28"/>
        </w:rPr>
      </w:pPr>
      <w:r>
        <w:rPr>
          <w:rFonts w:hint="eastAsia" w:ascii="仿宋" w:hAnsi="仿宋" w:eastAsia="仿宋"/>
          <w:sz w:val="28"/>
          <w:szCs w:val="28"/>
          <w:lang w:val="en-US" w:eastAsia="zh-CN"/>
        </w:rPr>
        <w:t>为进一步规范研究生评奖评优工作，客观公正地做好学院研究生的综合评定，依据学校和学院有关规定，现制定并下发《常州大学商学院刘国钧管理学院研究生综合评定指导性量化细则暂行办法》，</w:t>
      </w:r>
      <w:r>
        <w:rPr>
          <w:rFonts w:hint="eastAsia" w:ascii="仿宋" w:hAnsi="仿宋" w:eastAsia="仿宋"/>
          <w:sz w:val="28"/>
          <w:szCs w:val="28"/>
        </w:rPr>
        <w:t xml:space="preserve">请认真遵照执行。 </w:t>
      </w:r>
    </w:p>
    <w:p>
      <w:pPr>
        <w:ind w:firstLine="560" w:firstLineChars="200"/>
        <w:rPr>
          <w:rFonts w:ascii="仿宋" w:hAnsi="仿宋" w:eastAsia="仿宋"/>
          <w:sz w:val="28"/>
          <w:szCs w:val="28"/>
        </w:rPr>
      </w:pPr>
      <w:r>
        <w:rPr>
          <w:rFonts w:hint="eastAsia" w:ascii="仿宋" w:hAnsi="仿宋" w:eastAsia="仿宋"/>
          <w:sz w:val="28"/>
          <w:szCs w:val="28"/>
        </w:rPr>
        <w:t xml:space="preserve">特此通知。 </w:t>
      </w:r>
    </w:p>
    <w:p>
      <w:pPr>
        <w:ind w:firstLine="9240" w:firstLineChars="3300"/>
        <w:rPr>
          <w:rFonts w:ascii="仿宋" w:hAnsi="仿宋" w:eastAsia="仿宋"/>
          <w:sz w:val="28"/>
          <w:szCs w:val="28"/>
        </w:rPr>
      </w:pPr>
      <w:r>
        <w:rPr>
          <w:rFonts w:hint="eastAsia" w:ascii="仿宋" w:hAnsi="仿宋" w:eastAsia="仿宋"/>
          <w:sz w:val="28"/>
          <w:szCs w:val="28"/>
        </w:rPr>
        <w:t>常</w:t>
      </w:r>
      <w:bookmarkStart w:id="0" w:name="_GoBack"/>
      <w:bookmarkEnd w:id="0"/>
      <w:r>
        <w:rPr>
          <w:rFonts w:hint="eastAsia" w:ascii="仿宋" w:hAnsi="仿宋" w:eastAsia="仿宋"/>
          <w:sz w:val="28"/>
          <w:szCs w:val="28"/>
        </w:rPr>
        <w:t xml:space="preserve">州大学商学院刘国钧管理学院 </w:t>
      </w:r>
    </w:p>
    <w:p>
      <w:pPr>
        <w:ind w:firstLine="9800" w:firstLineChars="3500"/>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 xml:space="preserve"> 年</w:t>
      </w:r>
      <w:r>
        <w:rPr>
          <w:rFonts w:hint="eastAsia" w:ascii="仿宋" w:hAnsi="仿宋" w:eastAsia="仿宋"/>
          <w:sz w:val="28"/>
          <w:szCs w:val="28"/>
          <w:lang w:val="en-US" w:eastAsia="zh-CN"/>
        </w:rPr>
        <w:t>9</w:t>
      </w:r>
      <w:r>
        <w:rPr>
          <w:rFonts w:hint="eastAsia" w:ascii="仿宋" w:hAnsi="仿宋" w:eastAsia="仿宋"/>
          <w:sz w:val="28"/>
          <w:szCs w:val="28"/>
        </w:rPr>
        <w:t xml:space="preserve">月 </w:t>
      </w:r>
      <w:r>
        <w:rPr>
          <w:rFonts w:hint="eastAsia" w:ascii="仿宋" w:hAnsi="仿宋" w:eastAsia="仿宋"/>
          <w:sz w:val="28"/>
          <w:szCs w:val="28"/>
          <w:lang w:val="en-US" w:eastAsia="zh-CN"/>
        </w:rPr>
        <w:t>25</w:t>
      </w:r>
      <w:r>
        <w:rPr>
          <w:rFonts w:hint="eastAsia" w:ascii="仿宋" w:hAnsi="仿宋" w:eastAsia="仿宋"/>
          <w:sz w:val="28"/>
          <w:szCs w:val="28"/>
        </w:rPr>
        <w:t>日</w:t>
      </w:r>
    </w:p>
    <w:p>
      <w:pPr>
        <w:jc w:val="center"/>
        <w:rPr>
          <w:rFonts w:hint="eastAsia" w:ascii="仿宋" w:hAnsi="仿宋" w:eastAsia="仿宋"/>
          <w:b/>
          <w:bCs/>
          <w:color w:val="000000" w:themeColor="text1"/>
          <w:spacing w:val="-8"/>
          <w:sz w:val="30"/>
          <w:szCs w:val="30"/>
          <w14:textFill>
            <w14:solidFill>
              <w14:schemeClr w14:val="tx1"/>
            </w14:solidFill>
          </w14:textFill>
        </w:rPr>
      </w:pPr>
      <w:r>
        <w:rPr>
          <w:rFonts w:hint="eastAsia" w:ascii="仿宋" w:hAnsi="仿宋" w:eastAsia="仿宋"/>
          <w:b/>
          <w:bCs/>
          <w:sz w:val="28"/>
          <w:szCs w:val="28"/>
        </w:rPr>
        <w:t>常州大学商学院刘国钧管理学院研究生综合评定指导性量化细则</w:t>
      </w:r>
    </w:p>
    <w:tbl>
      <w:tblPr>
        <w:tblStyle w:val="7"/>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62"/>
        <w:gridCol w:w="1814"/>
        <w:gridCol w:w="1213"/>
        <w:gridCol w:w="1082"/>
        <w:gridCol w:w="3200"/>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40"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类  别</w:t>
            </w:r>
          </w:p>
        </w:tc>
        <w:tc>
          <w:tcPr>
            <w:tcW w:w="4489" w:type="dxa"/>
            <w:gridSpan w:val="3"/>
            <w:vAlign w:val="center"/>
          </w:tcPr>
          <w:p>
            <w:pPr>
              <w:spacing w:line="360" w:lineRule="exact"/>
              <w:jc w:val="center"/>
              <w:rPr>
                <w:rFonts w:ascii="仿宋_GB2312" w:hAnsi="仿宋" w:eastAsia="仿宋_GB2312"/>
                <w:sz w:val="24"/>
              </w:rPr>
            </w:pPr>
            <w:r>
              <w:rPr>
                <w:rFonts w:hint="eastAsia" w:ascii="仿宋_GB2312" w:hAnsi="仿宋" w:eastAsia="仿宋_GB2312"/>
                <w:sz w:val="24"/>
              </w:rPr>
              <w:t>项目代码及内容</w:t>
            </w:r>
          </w:p>
        </w:tc>
        <w:tc>
          <w:tcPr>
            <w:tcW w:w="1082" w:type="dxa"/>
            <w:vAlign w:val="center"/>
          </w:tcPr>
          <w:p>
            <w:pPr>
              <w:spacing w:line="360" w:lineRule="exact"/>
              <w:jc w:val="center"/>
              <w:rPr>
                <w:rFonts w:ascii="仿宋_GB2312" w:hAnsi="仿宋" w:eastAsia="仿宋_GB2312"/>
                <w:sz w:val="24"/>
              </w:rPr>
            </w:pPr>
            <w:r>
              <w:rPr>
                <w:rFonts w:hint="eastAsia" w:ascii="仿宋_GB2312" w:hAnsi="仿宋" w:eastAsia="仿宋_GB2312"/>
                <w:sz w:val="24"/>
              </w:rPr>
              <w:t>分值或</w:t>
            </w:r>
          </w:p>
          <w:p>
            <w:pPr>
              <w:spacing w:line="360" w:lineRule="exact"/>
              <w:jc w:val="center"/>
              <w:rPr>
                <w:rFonts w:ascii="仿宋_GB2312" w:hAnsi="仿宋" w:eastAsia="仿宋_GB2312"/>
                <w:sz w:val="24"/>
              </w:rPr>
            </w:pPr>
            <w:r>
              <w:rPr>
                <w:rFonts w:hint="eastAsia" w:ascii="仿宋_GB2312" w:hAnsi="仿宋" w:eastAsia="仿宋_GB2312"/>
                <w:sz w:val="24"/>
              </w:rPr>
              <w:t>结果</w:t>
            </w:r>
          </w:p>
        </w:tc>
        <w:tc>
          <w:tcPr>
            <w:tcW w:w="7851" w:type="dxa"/>
            <w:gridSpan w:val="2"/>
            <w:vAlign w:val="center"/>
          </w:tcPr>
          <w:p>
            <w:pPr>
              <w:spacing w:line="360" w:lineRule="exact"/>
              <w:jc w:val="center"/>
              <w:rPr>
                <w:rFonts w:ascii="仿宋_GB2312" w:hAnsi="仿宋" w:eastAsia="仿宋_GB2312"/>
                <w:sz w:val="24"/>
              </w:rPr>
            </w:pPr>
            <w:r>
              <w:rPr>
                <w:rFonts w:hint="eastAsia" w:ascii="仿宋_GB2312" w:hAnsi="仿宋" w:eastAsia="仿宋_GB2312"/>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A思想品德</w:t>
            </w: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A1荣誉表彰</w:t>
            </w: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A11重大荣誉及事迹</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100分</w:t>
            </w:r>
          </w:p>
        </w:tc>
        <w:tc>
          <w:tcPr>
            <w:tcW w:w="7851"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A11经认定在新时代社会主义思想道德建设荣获重大荣誉者，或在关键时刻、重大事件中经受住考验、表现突出、作出重大贡献者，由学院推荐，校评审领导小组综合评定。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A12荣誉表彰</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3-50分</w:t>
            </w:r>
          </w:p>
        </w:tc>
        <w:tc>
          <w:tcPr>
            <w:tcW w:w="7851" w:type="dxa"/>
            <w:gridSpan w:val="2"/>
            <w:vAlign w:val="center"/>
          </w:tcPr>
          <w:p>
            <w:pPr>
              <w:spacing w:line="320" w:lineRule="exact"/>
              <w:rPr>
                <w:rFonts w:hint="eastAsia" w:ascii="仿宋_GB2312" w:hAnsi="仿宋" w:eastAsia="仿宋_GB2312"/>
                <w:szCs w:val="21"/>
              </w:rPr>
            </w:pPr>
            <w:r>
              <w:rPr>
                <w:rFonts w:hint="eastAsia" w:ascii="仿宋_GB2312" w:hAnsi="仿宋" w:eastAsia="仿宋_GB2312"/>
                <w:szCs w:val="21"/>
              </w:rPr>
              <w:t>A12 因综合性表彰，荣获国家级(竞争性 50 分，指标性 30 分)、省级(竞争性</w:t>
            </w:r>
          </w:p>
          <w:p>
            <w:pPr>
              <w:spacing w:line="320" w:lineRule="exact"/>
              <w:rPr>
                <w:rFonts w:hint="eastAsia" w:ascii="仿宋_GB2312" w:hAnsi="仿宋" w:eastAsia="仿宋_GB2312"/>
                <w:szCs w:val="21"/>
              </w:rPr>
            </w:pPr>
            <w:r>
              <w:rPr>
                <w:rFonts w:hint="eastAsia" w:ascii="仿宋_GB2312" w:hAnsi="仿宋" w:eastAsia="仿宋_GB2312"/>
                <w:szCs w:val="21"/>
              </w:rPr>
              <w:t>20 分，指标性 10 分)、市厅级(5 分)、校级(3 分)等各级各类个人荣誉称号，</w:t>
            </w:r>
          </w:p>
          <w:p>
            <w:pPr>
              <w:spacing w:line="320" w:lineRule="exact"/>
              <w:rPr>
                <w:rFonts w:hint="eastAsia" w:ascii="仿宋_GB2312" w:hAnsi="仿宋" w:eastAsia="仿宋_GB2312"/>
                <w:szCs w:val="21"/>
              </w:rPr>
            </w:pPr>
            <w:r>
              <w:rPr>
                <w:rFonts w:hint="eastAsia" w:ascii="仿宋_GB2312" w:hAnsi="仿宋" w:eastAsia="仿宋_GB2312"/>
                <w:szCs w:val="21"/>
              </w:rPr>
              <w:t>不同项可累加，同项以最高级计，校级荣誉表彰不超过 3 项；如同一荣誉奖</w:t>
            </w:r>
          </w:p>
          <w:p>
            <w:pPr>
              <w:spacing w:line="320" w:lineRule="exact"/>
              <w:rPr>
                <w:rFonts w:hint="eastAsia" w:ascii="仿宋_GB2312" w:hAnsi="仿宋" w:eastAsia="仿宋_GB2312"/>
                <w:szCs w:val="21"/>
              </w:rPr>
            </w:pPr>
            <w:r>
              <w:rPr>
                <w:rFonts w:hint="eastAsia" w:ascii="仿宋_GB2312" w:hAnsi="仿宋" w:eastAsia="仿宋_GB2312"/>
                <w:szCs w:val="21"/>
              </w:rPr>
              <w:t>项还设有“提名奖”“入围奖”，则分别乘以 0.5、0.3 的系数。个人表彰系数</w:t>
            </w:r>
          </w:p>
          <w:p>
            <w:pPr>
              <w:spacing w:line="320" w:lineRule="exact"/>
              <w:rPr>
                <w:rFonts w:hint="eastAsia" w:ascii="仿宋_GB2312" w:hAnsi="仿宋" w:eastAsia="仿宋_GB2312"/>
                <w:szCs w:val="21"/>
              </w:rPr>
            </w:pPr>
            <w:r>
              <w:rPr>
                <w:rFonts w:hint="eastAsia" w:ascii="仿宋_GB2312" w:hAnsi="仿宋" w:eastAsia="仿宋_GB2312"/>
                <w:szCs w:val="21"/>
              </w:rPr>
              <w:t>为 1，团队表彰系数由负责人统筹分配到各成员，且总系数不超过 1，并提供</w:t>
            </w:r>
          </w:p>
          <w:p>
            <w:pPr>
              <w:spacing w:line="320" w:lineRule="exact"/>
              <w:rPr>
                <w:rFonts w:ascii="仿宋_GB2312" w:hAnsi="仿宋" w:eastAsia="仿宋_GB2312"/>
                <w:szCs w:val="21"/>
              </w:rPr>
            </w:pPr>
            <w:r>
              <w:rPr>
                <w:rFonts w:hint="eastAsia" w:ascii="仿宋_GB2312" w:hAnsi="仿宋" w:eastAsia="仿宋_GB2312"/>
                <w:szCs w:val="21"/>
              </w:rPr>
              <w:t>证书，由学院认定。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A2日常表现</w:t>
            </w: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A21参加校、院组织的各类活动</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5分</w:t>
            </w:r>
          </w:p>
        </w:tc>
        <w:tc>
          <w:tcPr>
            <w:tcW w:w="7851"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A21提供</w:t>
            </w:r>
            <w:r>
              <w:rPr>
                <w:rFonts w:hint="eastAsia" w:ascii="仿宋_GB2312" w:hAnsi="仿宋" w:eastAsia="仿宋_GB2312"/>
                <w:color w:val="000000" w:themeColor="text1"/>
                <w:szCs w:val="21"/>
                <w14:textFill>
                  <w14:solidFill>
                    <w14:schemeClr w14:val="tx1"/>
                  </w14:solidFill>
                </w14:textFill>
              </w:rPr>
              <w:t>获奖</w:t>
            </w:r>
            <w:r>
              <w:rPr>
                <w:rFonts w:hint="eastAsia" w:ascii="仿宋_GB2312" w:hAnsi="仿宋" w:eastAsia="仿宋_GB2312"/>
                <w:szCs w:val="21"/>
              </w:rPr>
              <w:t>证书，由学院认定，总分不超过5分。</w:t>
            </w:r>
          </w:p>
          <w:p>
            <w:pPr>
              <w:spacing w:line="320" w:lineRule="exact"/>
              <w:rPr>
                <w:rFonts w:hint="eastAsia" w:ascii="仿宋_GB2312" w:hAnsi="仿宋" w:eastAsia="仿宋_GB2312"/>
                <w:color w:val="FF0000"/>
                <w:szCs w:val="21"/>
                <w:lang w:eastAsia="zh-CN"/>
              </w:rPr>
            </w:pPr>
            <w:r>
              <w:rPr>
                <w:rFonts w:hint="eastAsia" w:ascii="仿宋_GB2312" w:hAnsi="仿宋" w:eastAsia="仿宋_GB2312"/>
                <w:szCs w:val="21"/>
              </w:rPr>
              <w:t>参加校级专业类活动2分/次，院级1分/次；参加校级非专业类活动1分/次，院级0.5分/次。总分不超过5分（如无证书，活动组织单位盖章证明）</w:t>
            </w:r>
            <w:r>
              <w:rPr>
                <w:rFonts w:hint="eastAsia" w:ascii="仿宋_GB2312" w:hAnsi="仿宋"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A22实验室安全和公寓管理</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5分</w:t>
            </w:r>
          </w:p>
        </w:tc>
        <w:tc>
          <w:tcPr>
            <w:tcW w:w="7851" w:type="dxa"/>
            <w:gridSpan w:val="2"/>
            <w:vAlign w:val="center"/>
          </w:tcPr>
          <w:p>
            <w:pPr>
              <w:spacing w:line="320" w:lineRule="exact"/>
              <w:rPr>
                <w:rFonts w:hint="eastAsia" w:ascii="仿宋_GB2312" w:hAnsi="仿宋" w:eastAsia="仿宋_GB2312"/>
                <w:szCs w:val="21"/>
                <w:lang w:eastAsia="zh-CN"/>
              </w:rPr>
            </w:pPr>
            <w:r>
              <w:rPr>
                <w:rFonts w:hint="eastAsia" w:ascii="仿宋_GB2312" w:hAnsi="仿宋" w:eastAsia="仿宋_GB2312"/>
                <w:szCs w:val="21"/>
              </w:rPr>
              <w:t>A22 遵守实验室、工作室、学生公寓和校园等场所管理规定的 2 分，有违规行为的，扣 1 分/次，造成严重后果的，记 0 分；获评校级“洁、齐、美”宿舍特等和一、二、三等奖分别加 3、2、1、0.5 分；由学院和相关主管部门认定</w:t>
            </w:r>
            <w:r>
              <w:rPr>
                <w:rFonts w:hint="eastAsia" w:ascii="仿宋_GB2312" w:hAnsi="仿宋"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A23公共安全</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2分</w:t>
            </w:r>
          </w:p>
        </w:tc>
        <w:tc>
          <w:tcPr>
            <w:tcW w:w="7851"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A23在自然灾害、事故灾难、公共卫生等突发事件中，做到不造谣、不信谣、不传谣，自觉服从学校统一管理2分，否则记0分，</w:t>
            </w:r>
            <w:r>
              <w:rPr>
                <w:rFonts w:hint="eastAsia" w:ascii="仿宋_GB2312" w:hAnsi="仿宋" w:eastAsia="仿宋_GB2312"/>
                <w:color w:val="000000" w:themeColor="text1"/>
                <w:szCs w:val="21"/>
                <w14:textFill>
                  <w14:solidFill>
                    <w14:schemeClr w14:val="tx1"/>
                  </w14:solidFill>
                </w14:textFill>
              </w:rPr>
              <w:t>由学院认定。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A24近1年内受到警告及以上纪律处分</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原则上不得参评</w:t>
            </w:r>
          </w:p>
        </w:tc>
        <w:tc>
          <w:tcPr>
            <w:tcW w:w="7851"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A24以发文时间为准，近一年时间范围上与学院开展综合评定时间相对应。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A25政治立场或学术道德存在严重问题</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取消参评资格</w:t>
            </w:r>
          </w:p>
        </w:tc>
        <w:tc>
          <w:tcPr>
            <w:tcW w:w="7851"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A25由学院认定，研工部审核。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A26 德育素质</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4分</w:t>
            </w:r>
          </w:p>
        </w:tc>
        <w:tc>
          <w:tcPr>
            <w:tcW w:w="7851"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A26成立</w:t>
            </w:r>
            <w:r>
              <w:rPr>
                <w:rFonts w:hint="eastAsia" w:ascii="仿宋_GB2312" w:hAnsi="仿宋" w:eastAsia="仿宋_GB2312"/>
                <w:szCs w:val="21"/>
                <w:lang w:val="en-US" w:eastAsia="zh-CN"/>
              </w:rPr>
              <w:t>基层</w:t>
            </w:r>
            <w:r>
              <w:rPr>
                <w:rFonts w:hint="eastAsia" w:ascii="仿宋_GB2312" w:hAnsi="仿宋" w:eastAsia="仿宋_GB2312"/>
                <w:szCs w:val="21"/>
              </w:rPr>
              <w:t>测评小组打分（附《常州大学</w:t>
            </w:r>
            <w:r>
              <w:rPr>
                <w:rFonts w:hint="eastAsia" w:ascii="仿宋_GB2312" w:hAnsi="仿宋" w:eastAsia="仿宋_GB2312"/>
                <w:szCs w:val="21"/>
                <w:lang w:val="en-US" w:eastAsia="zh-CN"/>
              </w:rPr>
              <w:t>商学院刘国钧管理学院</w:t>
            </w:r>
            <w:r>
              <w:rPr>
                <w:rFonts w:hint="eastAsia" w:ascii="仿宋_GB2312" w:hAnsi="仿宋" w:eastAsia="仿宋_GB2312"/>
                <w:szCs w:val="21"/>
              </w:rPr>
              <w:t>学生德育素质测评表》）。测评分数在95-100的，此项得4分；测评分数在90-94的，此项得3分；测评分数在80-89的，此项得2分；测评分数在70-79的，此项得1分；70分以下的，此项不得分。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A3志愿实践</w:t>
            </w: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A31志愿服务</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1-20分</w:t>
            </w:r>
          </w:p>
        </w:tc>
        <w:tc>
          <w:tcPr>
            <w:tcW w:w="7851" w:type="dxa"/>
            <w:gridSpan w:val="2"/>
            <w:vAlign w:val="center"/>
          </w:tcPr>
          <w:p>
            <w:pPr>
              <w:spacing w:line="320" w:lineRule="exact"/>
              <w:rPr>
                <w:rFonts w:hint="eastAsia" w:ascii="仿宋_GB2312" w:hAnsi="仿宋" w:eastAsia="仿宋_GB2312"/>
                <w:szCs w:val="21"/>
              </w:rPr>
            </w:pPr>
            <w:r>
              <w:rPr>
                <w:rFonts w:hint="eastAsia" w:ascii="仿宋_GB2312" w:hAnsi="仿宋" w:eastAsia="仿宋_GB2312"/>
                <w:szCs w:val="21"/>
              </w:rPr>
              <w:t>A31 因志愿服务某项活动/事件，获得国家级、省级、市厅级和校级等表彰的，</w:t>
            </w:r>
          </w:p>
          <w:p>
            <w:pPr>
              <w:spacing w:line="320" w:lineRule="exact"/>
              <w:rPr>
                <w:rFonts w:hint="eastAsia" w:ascii="仿宋_GB2312" w:hAnsi="仿宋" w:eastAsia="仿宋_GB2312"/>
                <w:szCs w:val="21"/>
              </w:rPr>
            </w:pPr>
            <w:r>
              <w:rPr>
                <w:rFonts w:hint="eastAsia" w:ascii="仿宋_GB2312" w:hAnsi="仿宋" w:eastAsia="仿宋_GB2312"/>
                <w:szCs w:val="21"/>
              </w:rPr>
              <w:t>分别得 20、5、2、1 分；个人表彰系数为 1，团队表彰系数由负责人统筹分配</w:t>
            </w:r>
          </w:p>
          <w:p>
            <w:pPr>
              <w:spacing w:line="320" w:lineRule="exact"/>
              <w:rPr>
                <w:rFonts w:ascii="仿宋_GB2312" w:hAnsi="仿宋" w:eastAsia="仿宋_GB2312"/>
                <w:szCs w:val="21"/>
              </w:rPr>
            </w:pPr>
            <w:r>
              <w:rPr>
                <w:rFonts w:hint="eastAsia" w:ascii="仿宋_GB2312" w:hAnsi="仿宋" w:eastAsia="仿宋_GB2312"/>
                <w:szCs w:val="21"/>
              </w:rPr>
              <w:t>到各成员且总系数不超过 1，并提供证书，由学院认定。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A32社会实践</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1-20分</w:t>
            </w:r>
          </w:p>
        </w:tc>
        <w:tc>
          <w:tcPr>
            <w:tcW w:w="7851" w:type="dxa"/>
            <w:gridSpan w:val="2"/>
            <w:vAlign w:val="center"/>
          </w:tcPr>
          <w:p>
            <w:pPr>
              <w:spacing w:line="320" w:lineRule="exact"/>
              <w:rPr>
                <w:rFonts w:hint="eastAsia" w:ascii="仿宋_GB2312" w:hAnsi="仿宋" w:eastAsia="仿宋_GB2312"/>
                <w:szCs w:val="21"/>
              </w:rPr>
            </w:pPr>
            <w:r>
              <w:rPr>
                <w:rFonts w:hint="eastAsia" w:ascii="仿宋_GB2312" w:hAnsi="仿宋" w:eastAsia="仿宋_GB2312"/>
                <w:szCs w:val="21"/>
              </w:rPr>
              <w:t>A32 因参与某项社会实践活动，获得国家级、省级、市厅级和校级等表彰的，</w:t>
            </w:r>
          </w:p>
          <w:p>
            <w:pPr>
              <w:spacing w:line="320" w:lineRule="exact"/>
              <w:rPr>
                <w:rFonts w:hint="eastAsia" w:ascii="仿宋_GB2312" w:hAnsi="仿宋" w:eastAsia="仿宋_GB2312"/>
                <w:szCs w:val="21"/>
              </w:rPr>
            </w:pPr>
            <w:r>
              <w:rPr>
                <w:rFonts w:hint="eastAsia" w:ascii="仿宋_GB2312" w:hAnsi="仿宋" w:eastAsia="仿宋_GB2312"/>
                <w:szCs w:val="21"/>
              </w:rPr>
              <w:t>分别得 20、5、2、1 分；个人表彰系数为 1，团队表彰系数由负责人统筹分</w:t>
            </w:r>
          </w:p>
          <w:p>
            <w:pPr>
              <w:spacing w:line="320" w:lineRule="exact"/>
              <w:rPr>
                <w:rFonts w:ascii="仿宋_GB2312" w:hAnsi="仿宋" w:eastAsia="仿宋_GB2312"/>
                <w:szCs w:val="21"/>
              </w:rPr>
            </w:pPr>
            <w:r>
              <w:rPr>
                <w:rFonts w:hint="eastAsia" w:ascii="仿宋_GB2312" w:hAnsi="仿宋" w:eastAsia="仿宋_GB2312"/>
                <w:szCs w:val="21"/>
              </w:rPr>
              <w:t>配到各成员且总系数不超过 1，并提供证书，由学院认定。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Align w:val="center"/>
          </w:tcPr>
          <w:p>
            <w:pPr>
              <w:spacing w:line="360" w:lineRule="exact"/>
              <w:rPr>
                <w:rFonts w:ascii="仿宋_GB2312" w:hAnsi="仿宋" w:eastAsia="仿宋_GB2312"/>
                <w:sz w:val="24"/>
              </w:rPr>
            </w:pPr>
            <w:r>
              <w:rPr>
                <w:rFonts w:hint="eastAsia" w:ascii="仿宋_GB2312" w:hAnsi="仿宋" w:eastAsia="仿宋_GB2312"/>
                <w:sz w:val="24"/>
              </w:rPr>
              <w:t>A4社会工作</w:t>
            </w: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A41校、院学生干部</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1-6分</w:t>
            </w:r>
          </w:p>
        </w:tc>
        <w:tc>
          <w:tcPr>
            <w:tcW w:w="7851" w:type="dxa"/>
            <w:gridSpan w:val="2"/>
            <w:vAlign w:val="center"/>
          </w:tcPr>
          <w:p>
            <w:pPr>
              <w:spacing w:line="320" w:lineRule="exact"/>
              <w:rPr>
                <w:rFonts w:hint="default" w:ascii="仿宋_GB2312" w:hAnsi="仿宋" w:eastAsia="仿宋_GB2312"/>
                <w:szCs w:val="21"/>
                <w:lang w:val="en-US" w:eastAsia="zh-CN"/>
              </w:rPr>
            </w:pPr>
            <w:r>
              <w:rPr>
                <w:rFonts w:hint="eastAsia" w:ascii="仿宋_GB2312" w:hAnsi="仿宋" w:eastAsia="仿宋_GB2312"/>
                <w:szCs w:val="21"/>
              </w:rPr>
              <w:t>A41校研究生会主席6分、副主席4分，部长3分、副部长2分；校团委学生兼职副书记6分；院研究生会主席5分、副主席3分、部长2分、副部长1分；院团委学生兼职副书记5分；党支部书记5分、副书记3分、支委委员1分；班级班长、团支部书记3分，班委、支委1分；辅导员学生助理</w:t>
            </w:r>
            <w:r>
              <w:rPr>
                <w:rFonts w:hint="eastAsia" w:ascii="仿宋_GB2312" w:hAnsi="仿宋" w:eastAsia="仿宋_GB2312"/>
                <w:szCs w:val="21"/>
                <w:lang w:val="en-US" w:eastAsia="zh-CN"/>
              </w:rPr>
              <w:t>和院党政办学生助理</w:t>
            </w:r>
            <w:r>
              <w:rPr>
                <w:rFonts w:hint="eastAsia" w:ascii="仿宋_GB2312" w:hAnsi="仿宋" w:eastAsia="仿宋_GB2312"/>
                <w:szCs w:val="21"/>
              </w:rPr>
              <w:t>5分。以上任职须任满一届，不重复计分，最高分6分</w:t>
            </w:r>
            <w:r>
              <w:rPr>
                <w:rFonts w:hint="eastAsia" w:ascii="仿宋_GB2312" w:hAnsi="仿宋" w:eastAsia="仿宋_GB2312"/>
                <w:szCs w:val="21"/>
                <w:lang w:eastAsia="zh-CN"/>
              </w:rPr>
              <w:t>，</w:t>
            </w:r>
            <w:r>
              <w:rPr>
                <w:rFonts w:hint="eastAsia" w:ascii="仿宋_GB2312" w:hAnsi="仿宋" w:eastAsia="仿宋_GB2312"/>
                <w:szCs w:val="21"/>
                <w:lang w:val="en-US" w:eastAsia="zh-CN"/>
              </w:rPr>
              <w:t>最终分值依据学生干部考核结果和任期决定。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tcBorders>
              <w:top w:val="double" w:color="auto" w:sz="4" w:space="0"/>
            </w:tcBorders>
            <w:vAlign w:val="center"/>
          </w:tcPr>
          <w:p>
            <w:pPr>
              <w:spacing w:line="360" w:lineRule="exact"/>
              <w:rPr>
                <w:rFonts w:hint="eastAsia" w:ascii="仿宋_GB2312" w:hAnsi="仿宋" w:eastAsia="仿宋_GB2312"/>
                <w:sz w:val="24"/>
              </w:rPr>
            </w:pPr>
          </w:p>
          <w:p>
            <w:pPr>
              <w:spacing w:line="360" w:lineRule="exact"/>
              <w:rPr>
                <w:rFonts w:hint="eastAsia" w:ascii="仿宋_GB2312" w:hAnsi="仿宋" w:eastAsia="仿宋_GB2312"/>
                <w:sz w:val="24"/>
              </w:rPr>
            </w:pPr>
          </w:p>
          <w:p>
            <w:pPr>
              <w:spacing w:line="360" w:lineRule="exact"/>
              <w:rPr>
                <w:rFonts w:hint="eastAsia" w:ascii="仿宋_GB2312" w:hAnsi="仿宋" w:eastAsia="仿宋_GB2312"/>
                <w:sz w:val="24"/>
              </w:rPr>
            </w:pPr>
          </w:p>
          <w:p>
            <w:pPr>
              <w:spacing w:line="360" w:lineRule="exact"/>
              <w:rPr>
                <w:rFonts w:hint="eastAsia" w:ascii="仿宋_GB2312" w:hAnsi="仿宋" w:eastAsia="仿宋_GB2312"/>
                <w:sz w:val="24"/>
              </w:rPr>
            </w:pPr>
          </w:p>
          <w:p>
            <w:pPr>
              <w:spacing w:line="360" w:lineRule="exact"/>
              <w:rPr>
                <w:rFonts w:hint="eastAsia" w:ascii="仿宋_GB2312" w:hAnsi="仿宋" w:eastAsia="仿宋_GB2312"/>
                <w:sz w:val="24"/>
              </w:rPr>
            </w:pPr>
          </w:p>
          <w:p>
            <w:pPr>
              <w:spacing w:line="360" w:lineRule="exact"/>
              <w:rPr>
                <w:rFonts w:ascii="仿宋_GB2312" w:hAnsi="仿宋" w:eastAsia="仿宋_GB2312"/>
                <w:sz w:val="24"/>
              </w:rPr>
            </w:pPr>
            <w:r>
              <w:rPr>
                <w:rFonts w:hint="eastAsia" w:ascii="仿宋_GB2312" w:hAnsi="仿宋" w:eastAsia="仿宋_GB2312"/>
                <w:sz w:val="24"/>
              </w:rPr>
              <w:t>B学业成绩</w:t>
            </w:r>
          </w:p>
        </w:tc>
        <w:tc>
          <w:tcPr>
            <w:tcW w:w="1462" w:type="dxa"/>
            <w:vMerge w:val="restart"/>
            <w:tcBorders>
              <w:top w:val="double" w:color="auto" w:sz="4" w:space="0"/>
            </w:tcBorders>
            <w:vAlign w:val="center"/>
          </w:tcPr>
          <w:p>
            <w:pPr>
              <w:spacing w:line="360" w:lineRule="exact"/>
              <w:rPr>
                <w:rFonts w:ascii="仿宋_GB2312" w:hAnsi="仿宋" w:eastAsia="仿宋_GB2312"/>
                <w:sz w:val="24"/>
              </w:rPr>
            </w:pPr>
            <w:r>
              <w:rPr>
                <w:rFonts w:hint="eastAsia" w:ascii="仿宋_GB2312" w:hAnsi="仿宋" w:eastAsia="仿宋_GB2312"/>
                <w:sz w:val="24"/>
              </w:rPr>
              <w:t>B1课程学习</w:t>
            </w:r>
          </w:p>
        </w:tc>
        <w:tc>
          <w:tcPr>
            <w:tcW w:w="3027" w:type="dxa"/>
            <w:gridSpan w:val="2"/>
            <w:tcBorders>
              <w:top w:val="double" w:color="auto" w:sz="4" w:space="0"/>
            </w:tcBorders>
            <w:vAlign w:val="center"/>
          </w:tcPr>
          <w:p>
            <w:pPr>
              <w:spacing w:line="320" w:lineRule="exact"/>
              <w:rPr>
                <w:rFonts w:ascii="仿宋_GB2312" w:hAnsi="仿宋" w:eastAsia="仿宋_GB2312"/>
                <w:szCs w:val="21"/>
              </w:rPr>
            </w:pPr>
            <w:r>
              <w:rPr>
                <w:rFonts w:hint="eastAsia" w:ascii="仿宋_GB2312" w:hAnsi="仿宋" w:eastAsia="仿宋_GB2312"/>
                <w:szCs w:val="21"/>
              </w:rPr>
              <w:t>B11前10%</w:t>
            </w:r>
          </w:p>
        </w:tc>
        <w:tc>
          <w:tcPr>
            <w:tcW w:w="1082" w:type="dxa"/>
            <w:tcBorders>
              <w:top w:val="double" w:color="auto" w:sz="4" w:space="0"/>
            </w:tcBorders>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20分</w:t>
            </w:r>
          </w:p>
        </w:tc>
        <w:tc>
          <w:tcPr>
            <w:tcW w:w="7851" w:type="dxa"/>
            <w:gridSpan w:val="2"/>
            <w:vMerge w:val="restart"/>
            <w:tcBorders>
              <w:top w:val="double" w:color="auto" w:sz="4" w:space="0"/>
            </w:tcBorders>
            <w:vAlign w:val="center"/>
          </w:tcPr>
          <w:p>
            <w:pPr>
              <w:spacing w:line="320" w:lineRule="exact"/>
              <w:rPr>
                <w:rFonts w:ascii="仿宋_GB2312" w:hAnsi="仿宋" w:eastAsia="仿宋_GB2312"/>
                <w:color w:val="FFFFFF" w:themeColor="background1"/>
                <w:szCs w:val="21"/>
                <w14:textFill>
                  <w14:solidFill>
                    <w14:schemeClr w14:val="bg1"/>
                  </w14:solidFill>
                </w14:textFill>
              </w:rPr>
            </w:pPr>
            <w:r>
              <w:rPr>
                <w:rFonts w:hint="eastAsia" w:ascii="仿宋_GB2312" w:hAnsi="仿宋" w:eastAsia="仿宋_GB2312"/>
                <w:b w:val="0"/>
                <w:bCs w:val="0"/>
                <w:color w:val="auto"/>
                <w:szCs w:val="21"/>
              </w:rPr>
              <w:t>B11~B1</w:t>
            </w:r>
            <w:r>
              <w:rPr>
                <w:rFonts w:hint="eastAsia" w:ascii="仿宋_GB2312" w:hAnsi="仿宋" w:eastAsia="仿宋_GB2312"/>
                <w:b w:val="0"/>
                <w:bCs w:val="0"/>
                <w:color w:val="auto"/>
                <w:szCs w:val="21"/>
                <w:lang w:val="en-US" w:eastAsia="zh-CN"/>
              </w:rPr>
              <w:t>3</w:t>
            </w:r>
            <w:r>
              <w:rPr>
                <w:rFonts w:hint="eastAsia" w:ascii="仿宋_GB2312" w:hAnsi="仿宋" w:eastAsia="仿宋_GB2312"/>
                <w:b w:val="0"/>
                <w:bCs w:val="0"/>
                <w:color w:val="auto"/>
                <w:szCs w:val="21"/>
              </w:rPr>
              <w:t>课程统计范围</w:t>
            </w:r>
            <w:r>
              <w:rPr>
                <w:rFonts w:hint="eastAsia" w:ascii="仿宋_GB2312" w:hAnsi="仿宋" w:eastAsia="仿宋_GB2312"/>
                <w:b w:val="0"/>
                <w:bCs w:val="0"/>
                <w:color w:val="auto"/>
                <w:szCs w:val="21"/>
                <w:lang w:val="en-US" w:eastAsia="zh-CN"/>
              </w:rPr>
              <w:t>为：测评学年内所有修读课程，</w:t>
            </w:r>
            <w:r>
              <w:rPr>
                <w:rFonts w:hint="eastAsia" w:ascii="仿宋_GB2312" w:hAnsi="仿宋" w:eastAsia="仿宋_GB2312"/>
                <w:b w:val="0"/>
                <w:bCs w:val="0"/>
                <w:color w:val="auto"/>
                <w:szCs w:val="21"/>
              </w:rPr>
              <w:t>计算方式</w:t>
            </w:r>
            <w:r>
              <w:rPr>
                <w:rFonts w:hint="eastAsia" w:ascii="仿宋_GB2312" w:hAnsi="仿宋" w:eastAsia="仿宋_GB2312"/>
                <w:b w:val="0"/>
                <w:bCs w:val="0"/>
                <w:color w:val="auto"/>
                <w:szCs w:val="21"/>
                <w:lang w:val="en-US" w:eastAsia="zh-CN"/>
              </w:rPr>
              <w:t>为：B1=∑课程成绩×课程学分/∑学分</w:t>
            </w:r>
            <w:r>
              <w:rPr>
                <w:rFonts w:hint="eastAsia" w:ascii="仿宋_GB2312" w:hAnsi="仿宋" w:eastAsia="仿宋_GB2312"/>
                <w:b w:val="0"/>
                <w:bCs w:val="0"/>
                <w:color w:val="auto"/>
                <w:szCs w:val="21"/>
              </w:rPr>
              <w:t>。硕</w:t>
            </w:r>
            <w:r>
              <w:rPr>
                <w:rFonts w:hint="eastAsia" w:ascii="仿宋_GB2312" w:hAnsi="仿宋" w:eastAsia="仿宋_GB2312"/>
                <w:szCs w:val="21"/>
              </w:rPr>
              <w:t>士二年级参评按B1课程学习成绩加分执行，硕士三年级参评按B2中期考核成绩加分执行。在参评学年，研究生必修课不及格且补考或重修未通过者，没有参评资格。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tcBorders>
              <w:top w:val="single" w:color="auto" w:sz="4" w:space="0"/>
            </w:tcBorders>
            <w:vAlign w:val="center"/>
          </w:tcPr>
          <w:p>
            <w:pPr>
              <w:spacing w:line="320" w:lineRule="exact"/>
              <w:rPr>
                <w:rFonts w:ascii="仿宋_GB2312" w:hAnsi="仿宋" w:eastAsia="仿宋_GB2312"/>
                <w:szCs w:val="21"/>
              </w:rPr>
            </w:pPr>
            <w:r>
              <w:rPr>
                <w:rFonts w:hint="eastAsia" w:ascii="仿宋_GB2312" w:hAnsi="仿宋" w:eastAsia="仿宋_GB2312"/>
                <w:szCs w:val="21"/>
              </w:rPr>
              <w:t>B12前30%</w:t>
            </w:r>
          </w:p>
        </w:tc>
        <w:tc>
          <w:tcPr>
            <w:tcW w:w="1082" w:type="dxa"/>
            <w:tcBorders>
              <w:top w:val="single" w:color="auto" w:sz="4" w:space="0"/>
            </w:tcBorders>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15分</w:t>
            </w:r>
          </w:p>
        </w:tc>
        <w:tc>
          <w:tcPr>
            <w:tcW w:w="7851" w:type="dxa"/>
            <w:gridSpan w:val="2"/>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tcBorders>
              <w:top w:val="single" w:color="auto" w:sz="4" w:space="0"/>
            </w:tcBorders>
            <w:vAlign w:val="center"/>
          </w:tcPr>
          <w:p>
            <w:pPr>
              <w:spacing w:line="320" w:lineRule="exact"/>
              <w:rPr>
                <w:rFonts w:ascii="仿宋_GB2312" w:hAnsi="仿宋" w:eastAsia="仿宋_GB2312"/>
                <w:szCs w:val="21"/>
              </w:rPr>
            </w:pPr>
            <w:r>
              <w:rPr>
                <w:rFonts w:hint="eastAsia" w:ascii="仿宋_GB2312" w:hAnsi="仿宋" w:eastAsia="仿宋_GB2312"/>
                <w:szCs w:val="21"/>
              </w:rPr>
              <w:t>B13前50%</w:t>
            </w:r>
          </w:p>
        </w:tc>
        <w:tc>
          <w:tcPr>
            <w:tcW w:w="1082" w:type="dxa"/>
            <w:tcBorders>
              <w:top w:val="single" w:color="auto" w:sz="4" w:space="0"/>
            </w:tcBorders>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10分</w:t>
            </w:r>
          </w:p>
        </w:tc>
        <w:tc>
          <w:tcPr>
            <w:tcW w:w="7851" w:type="dxa"/>
            <w:gridSpan w:val="2"/>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tcBorders>
              <w:top w:val="single" w:color="auto" w:sz="4" w:space="0"/>
            </w:tcBorders>
            <w:vAlign w:val="center"/>
          </w:tcPr>
          <w:p>
            <w:pPr>
              <w:spacing w:line="360" w:lineRule="exact"/>
              <w:rPr>
                <w:rFonts w:ascii="仿宋_GB2312" w:hAnsi="仿宋" w:eastAsia="仿宋_GB2312"/>
                <w:sz w:val="24"/>
              </w:rPr>
            </w:pPr>
            <w:r>
              <w:rPr>
                <w:rFonts w:hint="eastAsia" w:ascii="仿宋_GB2312" w:hAnsi="仿宋" w:eastAsia="仿宋_GB2312"/>
                <w:sz w:val="24"/>
              </w:rPr>
              <w:t>B2中期考核</w:t>
            </w:r>
          </w:p>
        </w:tc>
        <w:tc>
          <w:tcPr>
            <w:tcW w:w="3027" w:type="dxa"/>
            <w:gridSpan w:val="2"/>
            <w:tcBorders>
              <w:top w:val="single" w:color="auto" w:sz="4" w:space="0"/>
            </w:tcBorders>
            <w:vAlign w:val="center"/>
          </w:tcPr>
          <w:p>
            <w:pPr>
              <w:spacing w:line="320" w:lineRule="exact"/>
              <w:rPr>
                <w:rFonts w:ascii="仿宋_GB2312" w:hAnsi="仿宋" w:eastAsia="仿宋_GB2312"/>
                <w:szCs w:val="21"/>
              </w:rPr>
            </w:pPr>
            <w:r>
              <w:rPr>
                <w:rFonts w:hint="eastAsia" w:ascii="仿宋_GB2312" w:hAnsi="仿宋" w:eastAsia="仿宋_GB2312"/>
                <w:szCs w:val="21"/>
              </w:rPr>
              <w:t>B21中期考核合格</w:t>
            </w:r>
          </w:p>
        </w:tc>
        <w:tc>
          <w:tcPr>
            <w:tcW w:w="1082" w:type="dxa"/>
            <w:tcBorders>
              <w:top w:val="single" w:color="auto" w:sz="4" w:space="0"/>
            </w:tcBorders>
            <w:vAlign w:val="center"/>
          </w:tcPr>
          <w:p>
            <w:pPr>
              <w:spacing w:line="320" w:lineRule="exact"/>
              <w:jc w:val="center"/>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分</w:t>
            </w:r>
          </w:p>
        </w:tc>
        <w:tc>
          <w:tcPr>
            <w:tcW w:w="7851" w:type="dxa"/>
            <w:gridSpan w:val="2"/>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tcBorders>
              <w:top w:val="single" w:color="auto" w:sz="4" w:space="0"/>
              <w:bottom w:val="single" w:color="auto" w:sz="4" w:space="0"/>
            </w:tcBorders>
            <w:vAlign w:val="center"/>
          </w:tcPr>
          <w:p>
            <w:pPr>
              <w:spacing w:line="360" w:lineRule="exact"/>
              <w:rPr>
                <w:rFonts w:ascii="仿宋_GB2312" w:hAnsi="仿宋" w:eastAsia="仿宋_GB2312"/>
                <w:sz w:val="24"/>
              </w:rPr>
            </w:pPr>
            <w:r>
              <w:rPr>
                <w:rFonts w:hint="eastAsia" w:ascii="仿宋_GB2312" w:hAnsi="仿宋" w:eastAsia="仿宋_GB2312"/>
                <w:sz w:val="24"/>
              </w:rPr>
              <w:t>B3境外交流</w:t>
            </w:r>
          </w:p>
        </w:tc>
        <w:tc>
          <w:tcPr>
            <w:tcW w:w="3027" w:type="dxa"/>
            <w:gridSpan w:val="2"/>
            <w:tcBorders>
              <w:top w:val="single" w:color="auto" w:sz="4" w:space="0"/>
              <w:bottom w:val="single" w:color="auto" w:sz="4" w:space="0"/>
            </w:tcBorders>
            <w:vAlign w:val="center"/>
          </w:tcPr>
          <w:p>
            <w:pPr>
              <w:spacing w:line="320" w:lineRule="exact"/>
              <w:rPr>
                <w:rFonts w:ascii="仿宋_GB2312" w:hAnsi="仿宋" w:eastAsia="仿宋_GB2312"/>
                <w:szCs w:val="21"/>
              </w:rPr>
            </w:pPr>
            <w:r>
              <w:rPr>
                <w:rFonts w:hint="eastAsia" w:ascii="仿宋_GB2312" w:hAnsi="仿宋" w:eastAsia="仿宋_GB2312"/>
                <w:szCs w:val="21"/>
              </w:rPr>
              <w:t>B31三个月以下</w:t>
            </w:r>
          </w:p>
        </w:tc>
        <w:tc>
          <w:tcPr>
            <w:tcW w:w="1082" w:type="dxa"/>
            <w:tcBorders>
              <w:top w:val="single" w:color="auto" w:sz="4" w:space="0"/>
              <w:bottom w:val="single" w:color="auto" w:sz="4" w:space="0"/>
            </w:tcBorders>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10分</w:t>
            </w:r>
          </w:p>
        </w:tc>
        <w:tc>
          <w:tcPr>
            <w:tcW w:w="7851" w:type="dxa"/>
            <w:gridSpan w:val="2"/>
            <w:vMerge w:val="restart"/>
            <w:tcBorders>
              <w:top w:val="single" w:color="auto" w:sz="4" w:space="0"/>
              <w:bottom w:val="single" w:color="auto" w:sz="4" w:space="0"/>
            </w:tcBorders>
            <w:vAlign w:val="center"/>
          </w:tcPr>
          <w:p>
            <w:pPr>
              <w:spacing w:line="320" w:lineRule="exact"/>
              <w:rPr>
                <w:rFonts w:ascii="仿宋_GB2312" w:hAnsi="仿宋" w:eastAsia="仿宋_GB2312"/>
                <w:szCs w:val="21"/>
              </w:rPr>
            </w:pPr>
            <w:r>
              <w:rPr>
                <w:rFonts w:hint="eastAsia" w:ascii="仿宋_GB2312" w:hAnsi="仿宋" w:eastAsia="仿宋_GB2312"/>
                <w:szCs w:val="21"/>
              </w:rPr>
              <w:t xml:space="preserve">B31-B33以学院研究生秘书、研究生院备案为准。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rPr>
                <w:rFonts w:ascii="仿宋_GB2312" w:hAnsi="仿宋" w:eastAsia="仿宋_GB2312"/>
                <w:sz w:val="24"/>
              </w:rPr>
            </w:pPr>
          </w:p>
        </w:tc>
        <w:tc>
          <w:tcPr>
            <w:tcW w:w="1462" w:type="dxa"/>
            <w:vMerge w:val="continue"/>
            <w:vAlign w:val="center"/>
          </w:tcPr>
          <w:p>
            <w:pPr>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B32三（含）至六个月</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15分</w:t>
            </w:r>
          </w:p>
        </w:tc>
        <w:tc>
          <w:tcPr>
            <w:tcW w:w="7851" w:type="dxa"/>
            <w:gridSpan w:val="2"/>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B33六个月（含）及以上</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20分</w:t>
            </w:r>
          </w:p>
        </w:tc>
        <w:tc>
          <w:tcPr>
            <w:tcW w:w="7851" w:type="dxa"/>
            <w:gridSpan w:val="2"/>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Align w:val="center"/>
          </w:tcPr>
          <w:p>
            <w:pPr>
              <w:spacing w:line="360" w:lineRule="exact"/>
              <w:rPr>
                <w:rFonts w:ascii="仿宋_GB2312" w:hAnsi="仿宋" w:eastAsia="仿宋_GB2312"/>
                <w:sz w:val="24"/>
              </w:rPr>
            </w:pPr>
            <w:r>
              <w:rPr>
                <w:rFonts w:hint="eastAsia" w:ascii="仿宋_GB2312" w:hAnsi="仿宋" w:eastAsia="仿宋_GB2312"/>
                <w:sz w:val="24"/>
              </w:rPr>
              <w:t>B4社会考试</w:t>
            </w:r>
          </w:p>
        </w:tc>
        <w:tc>
          <w:tcPr>
            <w:tcW w:w="3027"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B41英语考试</w:t>
            </w:r>
          </w:p>
        </w:tc>
        <w:tc>
          <w:tcPr>
            <w:tcW w:w="1082"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5分</w:t>
            </w:r>
          </w:p>
        </w:tc>
        <w:tc>
          <w:tcPr>
            <w:tcW w:w="7851"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B41托福≥90、雅思≥6.5等，需提供证明材料。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40" w:type="dxa"/>
            <w:vMerge w:val="restart"/>
            <w:tcBorders>
              <w:top w:val="double" w:color="auto" w:sz="4" w:space="0"/>
            </w:tcBorders>
            <w:vAlign w:val="center"/>
          </w:tcPr>
          <w:p>
            <w:pPr>
              <w:spacing w:line="360" w:lineRule="exact"/>
              <w:rPr>
                <w:rFonts w:ascii="仿宋_GB2312" w:hAnsi="仿宋" w:eastAsia="仿宋_GB2312"/>
                <w:sz w:val="24"/>
              </w:rPr>
            </w:pPr>
          </w:p>
          <w:p>
            <w:pPr>
              <w:spacing w:line="360" w:lineRule="exact"/>
              <w:rPr>
                <w:rFonts w:ascii="仿宋_GB2312" w:hAnsi="仿宋" w:eastAsia="仿宋_GB2312"/>
                <w:sz w:val="24"/>
              </w:rPr>
            </w:pPr>
          </w:p>
          <w:p>
            <w:pPr>
              <w:spacing w:line="360" w:lineRule="exact"/>
              <w:rPr>
                <w:rFonts w:ascii="仿宋_GB2312" w:hAnsi="仿宋" w:eastAsia="仿宋_GB2312"/>
                <w:sz w:val="24"/>
              </w:rPr>
            </w:pPr>
          </w:p>
          <w:p>
            <w:pPr>
              <w:spacing w:line="360" w:lineRule="exact"/>
              <w:rPr>
                <w:rFonts w:ascii="仿宋_GB2312" w:hAnsi="仿宋" w:eastAsia="仿宋_GB2312"/>
                <w:sz w:val="24"/>
              </w:rPr>
            </w:pPr>
          </w:p>
          <w:p>
            <w:pPr>
              <w:spacing w:line="360" w:lineRule="exact"/>
              <w:rPr>
                <w:rFonts w:ascii="仿宋_GB2312" w:hAnsi="仿宋" w:eastAsia="仿宋_GB2312"/>
                <w:sz w:val="24"/>
              </w:rPr>
            </w:pPr>
            <w:r>
              <w:rPr>
                <w:rFonts w:hint="eastAsia" w:ascii="仿宋_GB2312" w:hAnsi="仿宋" w:eastAsia="仿宋_GB2312"/>
                <w:sz w:val="24"/>
              </w:rPr>
              <w:t>C科研能力</w:t>
            </w:r>
          </w:p>
        </w:tc>
        <w:tc>
          <w:tcPr>
            <w:tcW w:w="1462" w:type="dxa"/>
            <w:vMerge w:val="restart"/>
            <w:tcBorders>
              <w:top w:val="double" w:color="auto" w:sz="4" w:space="0"/>
            </w:tcBorders>
            <w:vAlign w:val="center"/>
          </w:tcPr>
          <w:p>
            <w:pPr>
              <w:spacing w:line="360" w:lineRule="exact"/>
              <w:rPr>
                <w:rFonts w:hint="eastAsia" w:ascii="仿宋_GB2312" w:hAnsi="仿宋" w:eastAsia="仿宋_GB2312"/>
                <w:sz w:val="24"/>
              </w:rPr>
            </w:pPr>
            <w:r>
              <w:rPr>
                <w:rFonts w:hint="eastAsia" w:ascii="仿宋_GB2312" w:hAnsi="仿宋" w:eastAsia="仿宋_GB2312"/>
                <w:sz w:val="24"/>
              </w:rPr>
              <w:t>C1学术论文</w:t>
            </w:r>
          </w:p>
          <w:p>
            <w:pPr>
              <w:widowControl/>
              <w:spacing w:line="320" w:lineRule="exact"/>
              <w:jc w:val="left"/>
              <w:rPr>
                <w:rFonts w:hint="default" w:ascii="仿宋_GB2312" w:hAnsi="仿宋" w:eastAsia="仿宋_GB2312"/>
                <w:szCs w:val="21"/>
                <w:lang w:val="en-US" w:eastAsia="zh-CN"/>
              </w:rPr>
            </w:pPr>
          </w:p>
        </w:tc>
        <w:tc>
          <w:tcPr>
            <w:tcW w:w="3027" w:type="dxa"/>
            <w:gridSpan w:val="2"/>
            <w:tcBorders>
              <w:top w:val="double" w:color="auto" w:sz="4" w:space="0"/>
              <w:tl2br w:val="single" w:color="auto" w:sz="4" w:space="0"/>
            </w:tcBorders>
            <w:vAlign w:val="center"/>
          </w:tcPr>
          <w:p>
            <w:pPr>
              <w:widowControl/>
              <w:spacing w:line="320" w:lineRule="exact"/>
              <w:jc w:val="left"/>
              <w:rPr>
                <w:rFonts w:hint="eastAsia" w:ascii="仿宋_GB2312" w:hAnsi="仿宋" w:eastAsia="仿宋_GB2312"/>
                <w:szCs w:val="21"/>
                <w:highlight w:val="none"/>
              </w:rPr>
            </w:pPr>
            <w:r>
              <w:rPr>
                <w:rFonts w:hint="eastAsia" w:ascii="仿宋_GB2312" w:hAnsi="仿宋" w:eastAsia="仿宋_GB2312"/>
                <w:szCs w:val="21"/>
                <w:highlight w:val="none"/>
              </w:rPr>
              <w:t xml:space="preserve">           </w:t>
            </w:r>
            <w:r>
              <w:rPr>
                <w:rFonts w:hint="eastAsia" w:ascii="仿宋_GB2312" w:hAnsi="仿宋" w:eastAsia="仿宋_GB2312"/>
                <w:szCs w:val="21"/>
                <w:highlight w:val="none"/>
                <w:lang w:val="en-US" w:eastAsia="zh-CN"/>
              </w:rPr>
              <w:t xml:space="preserve">       </w:t>
            </w:r>
            <w:r>
              <w:rPr>
                <w:rFonts w:hint="eastAsia" w:ascii="仿宋_GB2312" w:hAnsi="仿宋" w:eastAsia="仿宋_GB2312"/>
                <w:szCs w:val="21"/>
                <w:highlight w:val="none"/>
              </w:rPr>
              <w:t>类别</w:t>
            </w:r>
          </w:p>
          <w:p>
            <w:pPr>
              <w:widowControl/>
              <w:spacing w:line="320" w:lineRule="exact"/>
              <w:jc w:val="left"/>
              <w:rPr>
                <w:rFonts w:hint="eastAsia" w:ascii="仿宋_GB2312" w:hAnsi="仿宋" w:eastAsia="仿宋_GB2312"/>
                <w:szCs w:val="21"/>
                <w:highlight w:val="none"/>
              </w:rPr>
            </w:pPr>
            <w:r>
              <w:rPr>
                <w:rFonts w:hint="eastAsia" w:ascii="仿宋_GB2312" w:hAnsi="仿宋" w:eastAsia="仿宋_GB2312"/>
                <w:szCs w:val="21"/>
                <w:highlight w:val="none"/>
              </w:rPr>
              <w:t>档次与分值</w:t>
            </w:r>
          </w:p>
        </w:tc>
        <w:tc>
          <w:tcPr>
            <w:tcW w:w="8933" w:type="dxa"/>
            <w:gridSpan w:val="3"/>
            <w:tcBorders>
              <w:top w:val="single" w:color="auto" w:sz="4" w:space="0"/>
            </w:tcBorders>
            <w:vAlign w:val="center"/>
          </w:tcPr>
          <w:p>
            <w:pPr>
              <w:widowControl/>
              <w:spacing w:line="320" w:lineRule="exact"/>
              <w:jc w:val="center"/>
              <w:rPr>
                <w:rFonts w:hint="default" w:ascii="仿宋_GB2312" w:hAnsi="仿宋" w:eastAsia="仿宋_GB2312"/>
                <w:szCs w:val="21"/>
                <w:highlight w:val="none"/>
                <w:lang w:val="en-US" w:eastAsia="zh-CN"/>
              </w:rPr>
            </w:pPr>
            <w:r>
              <w:rPr>
                <w:rFonts w:hint="eastAsia" w:ascii="仿宋_GB2312" w:hAnsi="仿宋" w:eastAsia="仿宋_GB2312"/>
                <w:szCs w:val="21"/>
                <w:highlight w:val="none"/>
                <w:lang w:val="en-US" w:eastAsia="zh-CN"/>
              </w:rPr>
              <w:t>期刊类别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widowControl/>
              <w:spacing w:line="320" w:lineRule="exact"/>
              <w:jc w:val="left"/>
              <w:rPr>
                <w:rFonts w:hint="eastAsia" w:ascii="仿宋_GB2312" w:hAnsi="仿宋" w:eastAsia="仿宋_GB2312"/>
                <w:szCs w:val="21"/>
              </w:rPr>
            </w:pPr>
          </w:p>
        </w:tc>
        <w:tc>
          <w:tcPr>
            <w:tcW w:w="1814" w:type="dxa"/>
            <w:vAlign w:val="center"/>
          </w:tcPr>
          <w:p>
            <w:pPr>
              <w:widowControl/>
              <w:spacing w:line="320" w:lineRule="exact"/>
              <w:jc w:val="left"/>
              <w:rPr>
                <w:rFonts w:hint="default" w:ascii="仿宋_GB2312" w:hAnsi="仿宋" w:eastAsia="仿宋_GB2312"/>
                <w:szCs w:val="21"/>
                <w:highlight w:val="none"/>
                <w:lang w:val="en-US" w:eastAsia="zh-CN"/>
              </w:rPr>
            </w:pPr>
            <w:r>
              <w:rPr>
                <w:rFonts w:hint="eastAsia" w:ascii="仿宋_GB2312" w:hAnsi="仿宋" w:eastAsia="仿宋_GB2312"/>
                <w:szCs w:val="21"/>
                <w:highlight w:val="none"/>
                <w:lang w:val="en-US" w:eastAsia="zh-CN"/>
              </w:rPr>
              <w:t>C11一档</w:t>
            </w:r>
          </w:p>
        </w:tc>
        <w:tc>
          <w:tcPr>
            <w:tcW w:w="1213" w:type="dxa"/>
            <w:vAlign w:val="center"/>
          </w:tcPr>
          <w:p>
            <w:pPr>
              <w:widowControl/>
              <w:spacing w:line="320" w:lineRule="exact"/>
              <w:jc w:val="center"/>
              <w:rPr>
                <w:rFonts w:hint="eastAsia" w:ascii="仿宋_GB2312" w:hAnsi="仿宋" w:eastAsia="仿宋_GB2312"/>
                <w:szCs w:val="21"/>
                <w:highlight w:val="none"/>
              </w:rPr>
            </w:pPr>
            <w:r>
              <w:rPr>
                <w:rFonts w:hint="eastAsia" w:ascii="仿宋_GB2312" w:hAnsi="仿宋" w:eastAsia="仿宋_GB2312"/>
                <w:szCs w:val="21"/>
                <w:highlight w:val="none"/>
                <w:lang w:val="en-US" w:eastAsia="zh-CN"/>
              </w:rPr>
              <w:t>2</w:t>
            </w:r>
            <w:r>
              <w:rPr>
                <w:rFonts w:hint="eastAsia" w:ascii="仿宋_GB2312" w:hAnsi="仿宋" w:eastAsia="仿宋_GB2312"/>
                <w:szCs w:val="21"/>
                <w:highlight w:val="none"/>
              </w:rPr>
              <w:t>00分/篇</w:t>
            </w:r>
          </w:p>
        </w:tc>
        <w:tc>
          <w:tcPr>
            <w:tcW w:w="8933" w:type="dxa"/>
            <w:gridSpan w:val="3"/>
            <w:vAlign w:val="center"/>
          </w:tcPr>
          <w:p>
            <w:pPr>
              <w:widowControl/>
              <w:spacing w:line="320" w:lineRule="exact"/>
              <w:jc w:val="left"/>
              <w:rPr>
                <w:rFonts w:hint="eastAsia" w:ascii="仿宋_GB2312" w:hAnsi="仿宋" w:eastAsia="仿宋_GB2312"/>
                <w:szCs w:val="21"/>
                <w:highlight w:val="none"/>
                <w:lang w:eastAsia="zh-CN"/>
              </w:rPr>
            </w:pPr>
            <w:r>
              <w:rPr>
                <w:rFonts w:hint="eastAsia" w:ascii="仿宋_GB2312" w:hAnsi="仿宋" w:eastAsia="仿宋_GB2312"/>
                <w:szCs w:val="21"/>
                <w:highlight w:val="none"/>
              </w:rPr>
              <w:t>《常州大学人文社科期刊分级目录》（2022 版）指定的 A1 类期刊</w:t>
            </w:r>
            <w:r>
              <w:rPr>
                <w:rFonts w:hint="eastAsia" w:ascii="仿宋_GB2312" w:hAnsi="仿宋" w:eastAsia="仿宋_GB2312"/>
                <w:szCs w:val="21"/>
                <w:highlight w:val="none"/>
                <w:lang w:eastAsia="zh-CN"/>
              </w:rPr>
              <w:t>、Science、Nature、Cell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widowControl/>
              <w:spacing w:line="320" w:lineRule="exact"/>
              <w:jc w:val="left"/>
              <w:rPr>
                <w:rFonts w:hint="eastAsia" w:ascii="仿宋_GB2312" w:hAnsi="仿宋" w:eastAsia="仿宋_GB2312"/>
                <w:szCs w:val="21"/>
              </w:rPr>
            </w:pPr>
          </w:p>
        </w:tc>
        <w:tc>
          <w:tcPr>
            <w:tcW w:w="1814" w:type="dxa"/>
            <w:vAlign w:val="center"/>
          </w:tcPr>
          <w:p>
            <w:pPr>
              <w:widowControl/>
              <w:spacing w:line="320" w:lineRule="exact"/>
              <w:jc w:val="left"/>
              <w:rPr>
                <w:rFonts w:hint="eastAsia" w:ascii="仿宋_GB2312" w:hAnsi="仿宋" w:eastAsia="仿宋_GB2312" w:cs="Times New Roman"/>
                <w:kern w:val="2"/>
                <w:sz w:val="21"/>
                <w:szCs w:val="21"/>
                <w:highlight w:val="none"/>
                <w:lang w:val="en-US" w:eastAsia="zh-CN" w:bidi="ar-SA"/>
              </w:rPr>
            </w:pPr>
            <w:r>
              <w:rPr>
                <w:rFonts w:hint="eastAsia" w:ascii="仿宋_GB2312" w:hAnsi="仿宋" w:eastAsia="仿宋_GB2312"/>
                <w:szCs w:val="21"/>
                <w:highlight w:val="none"/>
              </w:rPr>
              <w:t>C12二档</w:t>
            </w:r>
          </w:p>
        </w:tc>
        <w:tc>
          <w:tcPr>
            <w:tcW w:w="1213" w:type="dxa"/>
            <w:vAlign w:val="center"/>
          </w:tcPr>
          <w:p>
            <w:pPr>
              <w:widowControl/>
              <w:spacing w:line="320" w:lineRule="exact"/>
              <w:jc w:val="center"/>
              <w:rPr>
                <w:rFonts w:hint="eastAsia" w:ascii="仿宋_GB2312" w:hAnsi="仿宋" w:eastAsia="仿宋_GB2312" w:cs="Times New Roman"/>
                <w:kern w:val="2"/>
                <w:sz w:val="21"/>
                <w:szCs w:val="21"/>
                <w:highlight w:val="none"/>
                <w:lang w:val="en-US" w:eastAsia="zh-CN" w:bidi="ar-SA"/>
              </w:rPr>
            </w:pPr>
            <w:r>
              <w:rPr>
                <w:rFonts w:hint="eastAsia" w:ascii="仿宋_GB2312" w:hAnsi="仿宋" w:eastAsia="仿宋_GB2312"/>
                <w:szCs w:val="21"/>
                <w:highlight w:val="none"/>
                <w:lang w:val="en-US" w:eastAsia="zh-CN"/>
              </w:rPr>
              <w:t>2</w:t>
            </w:r>
            <w:r>
              <w:rPr>
                <w:rFonts w:hint="eastAsia" w:ascii="仿宋_GB2312" w:hAnsi="仿宋" w:eastAsia="仿宋_GB2312"/>
                <w:szCs w:val="21"/>
                <w:highlight w:val="none"/>
              </w:rPr>
              <w:t>00分/篇</w:t>
            </w:r>
          </w:p>
        </w:tc>
        <w:tc>
          <w:tcPr>
            <w:tcW w:w="8933" w:type="dxa"/>
            <w:gridSpan w:val="3"/>
            <w:vAlign w:val="center"/>
          </w:tcPr>
          <w:p>
            <w:pPr>
              <w:widowControl/>
              <w:spacing w:line="320" w:lineRule="exact"/>
              <w:jc w:val="left"/>
              <w:rPr>
                <w:rFonts w:hint="eastAsia" w:ascii="仿宋_GB2312" w:hAnsi="仿宋" w:eastAsia="仿宋_GB2312" w:cs="Times New Roman"/>
                <w:kern w:val="2"/>
                <w:sz w:val="21"/>
                <w:szCs w:val="21"/>
                <w:highlight w:val="none"/>
                <w:lang w:val="en-US" w:eastAsia="zh-CN" w:bidi="ar-SA"/>
              </w:rPr>
            </w:pPr>
            <w:r>
              <w:rPr>
                <w:rFonts w:hint="default" w:ascii="仿宋_GB2312" w:hAnsi="仿宋" w:eastAsia="仿宋_GB2312"/>
                <w:szCs w:val="21"/>
                <w:highlight w:val="none"/>
                <w:lang w:val="en-US" w:eastAsia="zh-CN"/>
              </w:rPr>
              <w:t>《常州大学人文社科期刊分级目录》（2022 版）指定的 A2 类期刊</w:t>
            </w:r>
            <w:r>
              <w:rPr>
                <w:rFonts w:hint="eastAsia" w:ascii="仿宋_GB2312" w:hAnsi="仿宋" w:eastAsia="仿宋_GB2312"/>
                <w:szCs w:val="21"/>
                <w:highlight w:val="none"/>
                <w:lang w:val="en-US" w:eastAsia="zh-CN"/>
              </w:rPr>
              <w:t>、《中国科学》《科学通报》中国科技期刊卓越行动计划(领军期刊)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widowControl/>
              <w:spacing w:line="320" w:lineRule="exact"/>
              <w:jc w:val="left"/>
              <w:rPr>
                <w:rFonts w:hint="eastAsia" w:ascii="仿宋_GB2312" w:hAnsi="仿宋" w:eastAsia="仿宋_GB2312"/>
                <w:szCs w:val="21"/>
              </w:rPr>
            </w:pPr>
          </w:p>
        </w:tc>
        <w:tc>
          <w:tcPr>
            <w:tcW w:w="1814" w:type="dxa"/>
            <w:vAlign w:val="center"/>
          </w:tcPr>
          <w:p>
            <w:pPr>
              <w:widowControl/>
              <w:spacing w:line="320" w:lineRule="exact"/>
              <w:jc w:val="left"/>
              <w:rPr>
                <w:rFonts w:hint="eastAsia" w:ascii="仿宋_GB2312" w:hAnsi="仿宋" w:eastAsia="仿宋_GB2312"/>
                <w:szCs w:val="21"/>
                <w:highlight w:val="none"/>
              </w:rPr>
            </w:pPr>
            <w:r>
              <w:rPr>
                <w:rFonts w:hint="eastAsia" w:ascii="仿宋_GB2312" w:hAnsi="仿宋" w:eastAsia="仿宋_GB2312"/>
                <w:szCs w:val="21"/>
                <w:highlight w:val="none"/>
              </w:rPr>
              <w:t>C13三档</w:t>
            </w:r>
          </w:p>
        </w:tc>
        <w:tc>
          <w:tcPr>
            <w:tcW w:w="1213" w:type="dxa"/>
            <w:vAlign w:val="center"/>
          </w:tcPr>
          <w:p>
            <w:pPr>
              <w:widowControl/>
              <w:spacing w:line="320" w:lineRule="exact"/>
              <w:jc w:val="center"/>
              <w:rPr>
                <w:rFonts w:hint="eastAsia" w:ascii="仿宋_GB2312" w:hAnsi="仿宋" w:eastAsia="仿宋_GB2312"/>
                <w:szCs w:val="21"/>
                <w:highlight w:val="none"/>
              </w:rPr>
            </w:pPr>
            <w:r>
              <w:rPr>
                <w:rFonts w:hint="eastAsia" w:ascii="仿宋_GB2312" w:hAnsi="仿宋" w:eastAsia="仿宋_GB2312"/>
                <w:szCs w:val="21"/>
                <w:highlight w:val="none"/>
                <w:lang w:val="en-US" w:eastAsia="zh-CN"/>
              </w:rPr>
              <w:t>40</w:t>
            </w:r>
            <w:r>
              <w:rPr>
                <w:rFonts w:hint="eastAsia" w:ascii="仿宋_GB2312" w:hAnsi="仿宋" w:eastAsia="仿宋_GB2312"/>
                <w:szCs w:val="21"/>
                <w:highlight w:val="none"/>
              </w:rPr>
              <w:t>分/篇</w:t>
            </w:r>
          </w:p>
        </w:tc>
        <w:tc>
          <w:tcPr>
            <w:tcW w:w="8933" w:type="dxa"/>
            <w:gridSpan w:val="3"/>
            <w:vAlign w:val="center"/>
          </w:tcPr>
          <w:p>
            <w:pPr>
              <w:widowControl/>
              <w:spacing w:line="320" w:lineRule="exact"/>
              <w:jc w:val="left"/>
              <w:rPr>
                <w:rFonts w:hint="default" w:ascii="仿宋_GB2312" w:hAnsi="仿宋" w:eastAsia="仿宋_GB2312"/>
                <w:szCs w:val="21"/>
                <w:highlight w:val="none"/>
                <w:lang w:val="en-US" w:eastAsia="zh-CN"/>
              </w:rPr>
            </w:pPr>
            <w:r>
              <w:rPr>
                <w:rFonts w:hint="default" w:ascii="仿宋_GB2312" w:hAnsi="仿宋" w:eastAsia="仿宋_GB2312"/>
                <w:szCs w:val="21"/>
                <w:highlight w:val="none"/>
                <w:lang w:val="en-US" w:eastAsia="zh-CN"/>
              </w:rPr>
              <w:t>《常州大学人文社科期刊分级目录》（2022 版）指定的 B1 类期刊</w:t>
            </w:r>
            <w:r>
              <w:rPr>
                <w:rFonts w:hint="eastAsia" w:ascii="仿宋_GB2312" w:hAnsi="仿宋" w:eastAsia="仿宋_GB2312"/>
                <w:szCs w:val="21"/>
                <w:highlight w:val="none"/>
                <w:lang w:val="en-US" w:eastAsia="zh-CN"/>
              </w:rPr>
              <w:t>、中国科技期刊卓越行动计划(重点期刊)、中科院SCI(Ⅰ区)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widowControl/>
              <w:spacing w:line="320" w:lineRule="exact"/>
              <w:jc w:val="left"/>
              <w:rPr>
                <w:rFonts w:hint="eastAsia" w:ascii="仿宋_GB2312" w:hAnsi="仿宋" w:eastAsia="仿宋_GB2312"/>
                <w:szCs w:val="21"/>
              </w:rPr>
            </w:pPr>
          </w:p>
        </w:tc>
        <w:tc>
          <w:tcPr>
            <w:tcW w:w="1814" w:type="dxa"/>
            <w:vAlign w:val="center"/>
          </w:tcPr>
          <w:p>
            <w:pPr>
              <w:widowControl/>
              <w:spacing w:line="320" w:lineRule="exact"/>
              <w:jc w:val="left"/>
              <w:rPr>
                <w:rFonts w:hint="eastAsia" w:ascii="仿宋_GB2312" w:hAnsi="仿宋" w:eastAsia="仿宋_GB2312"/>
                <w:szCs w:val="21"/>
                <w:highlight w:val="none"/>
              </w:rPr>
            </w:pPr>
            <w:r>
              <w:rPr>
                <w:rFonts w:hint="eastAsia" w:ascii="仿宋_GB2312" w:hAnsi="仿宋" w:eastAsia="仿宋_GB2312"/>
                <w:szCs w:val="21"/>
                <w:highlight w:val="none"/>
              </w:rPr>
              <w:t>C14四档</w:t>
            </w:r>
          </w:p>
        </w:tc>
        <w:tc>
          <w:tcPr>
            <w:tcW w:w="1213" w:type="dxa"/>
            <w:vAlign w:val="center"/>
          </w:tcPr>
          <w:p>
            <w:pPr>
              <w:widowControl/>
              <w:spacing w:line="320" w:lineRule="exact"/>
              <w:jc w:val="center"/>
              <w:rPr>
                <w:rFonts w:hint="eastAsia" w:ascii="仿宋_GB2312" w:hAnsi="仿宋" w:eastAsia="仿宋_GB2312"/>
                <w:szCs w:val="21"/>
                <w:highlight w:val="none"/>
              </w:rPr>
            </w:pPr>
            <w:r>
              <w:rPr>
                <w:rFonts w:hint="eastAsia" w:ascii="仿宋_GB2312" w:hAnsi="仿宋" w:eastAsia="仿宋_GB2312"/>
                <w:szCs w:val="21"/>
                <w:highlight w:val="none"/>
                <w:lang w:val="en-US" w:eastAsia="zh-CN"/>
              </w:rPr>
              <w:t>25</w:t>
            </w:r>
            <w:r>
              <w:rPr>
                <w:rFonts w:hint="eastAsia" w:ascii="仿宋_GB2312" w:hAnsi="仿宋" w:eastAsia="仿宋_GB2312"/>
                <w:szCs w:val="21"/>
                <w:highlight w:val="none"/>
              </w:rPr>
              <w:t>分/篇</w:t>
            </w:r>
          </w:p>
        </w:tc>
        <w:tc>
          <w:tcPr>
            <w:tcW w:w="8933" w:type="dxa"/>
            <w:gridSpan w:val="3"/>
            <w:vAlign w:val="center"/>
          </w:tcPr>
          <w:p>
            <w:pPr>
              <w:widowControl/>
              <w:spacing w:line="320" w:lineRule="exact"/>
              <w:jc w:val="left"/>
              <w:rPr>
                <w:rFonts w:hint="eastAsia" w:ascii="仿宋_GB2312" w:hAnsi="仿宋" w:eastAsia="仿宋_GB2312"/>
                <w:szCs w:val="21"/>
                <w:highlight w:val="none"/>
                <w:lang w:eastAsia="zh-CN"/>
              </w:rPr>
            </w:pPr>
            <w:r>
              <w:rPr>
                <w:rFonts w:hint="eastAsia" w:ascii="仿宋_GB2312" w:hAnsi="仿宋" w:eastAsia="仿宋_GB2312"/>
                <w:szCs w:val="21"/>
                <w:highlight w:val="none"/>
              </w:rPr>
              <w:t>《常州大学人文社科类重要期刊目录》指定的 B2 类期刊</w:t>
            </w:r>
            <w:r>
              <w:rPr>
                <w:rFonts w:hint="eastAsia" w:ascii="仿宋_GB2312" w:hAnsi="仿宋" w:eastAsia="仿宋_GB2312"/>
                <w:szCs w:val="21"/>
                <w:highlight w:val="none"/>
                <w:lang w:eastAsia="zh-CN"/>
              </w:rPr>
              <w:t>、</w:t>
            </w:r>
            <w:r>
              <w:rPr>
                <w:rFonts w:hint="eastAsia" w:ascii="仿宋_GB2312" w:hAnsi="仿宋" w:eastAsia="仿宋_GB2312"/>
                <w:szCs w:val="21"/>
                <w:highlight w:val="none"/>
                <w:lang w:val="en-US" w:eastAsia="zh-CN"/>
              </w:rPr>
              <w:t>中科院</w:t>
            </w:r>
            <w:r>
              <w:rPr>
                <w:rFonts w:hint="eastAsia" w:ascii="仿宋_GB2312" w:hAnsi="仿宋" w:eastAsia="仿宋_GB2312"/>
                <w:szCs w:val="21"/>
                <w:highlight w:val="none"/>
                <w:lang w:eastAsia="zh-CN"/>
              </w:rPr>
              <w:t>SCI(Ⅱ区)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widowControl/>
              <w:spacing w:line="320" w:lineRule="exact"/>
              <w:jc w:val="left"/>
              <w:rPr>
                <w:rFonts w:hint="eastAsia" w:ascii="仿宋_GB2312" w:hAnsi="仿宋" w:eastAsia="仿宋_GB2312"/>
                <w:szCs w:val="21"/>
              </w:rPr>
            </w:pPr>
          </w:p>
        </w:tc>
        <w:tc>
          <w:tcPr>
            <w:tcW w:w="1814" w:type="dxa"/>
            <w:vAlign w:val="center"/>
          </w:tcPr>
          <w:p>
            <w:pPr>
              <w:widowControl/>
              <w:spacing w:line="320" w:lineRule="exact"/>
              <w:jc w:val="left"/>
              <w:rPr>
                <w:rFonts w:hint="eastAsia" w:ascii="仿宋_GB2312" w:hAnsi="仿宋" w:eastAsia="仿宋_GB2312"/>
                <w:szCs w:val="21"/>
                <w:highlight w:val="none"/>
              </w:rPr>
            </w:pPr>
            <w:r>
              <w:rPr>
                <w:rFonts w:hint="eastAsia" w:ascii="仿宋_GB2312" w:hAnsi="仿宋" w:eastAsia="仿宋_GB2312"/>
                <w:szCs w:val="21"/>
                <w:highlight w:val="none"/>
              </w:rPr>
              <w:t>C15五档</w:t>
            </w:r>
          </w:p>
        </w:tc>
        <w:tc>
          <w:tcPr>
            <w:tcW w:w="1213" w:type="dxa"/>
            <w:vAlign w:val="center"/>
          </w:tcPr>
          <w:p>
            <w:pPr>
              <w:widowControl/>
              <w:spacing w:line="320" w:lineRule="exact"/>
              <w:jc w:val="center"/>
              <w:rPr>
                <w:rFonts w:hint="eastAsia" w:ascii="仿宋_GB2312" w:hAnsi="仿宋" w:eastAsia="仿宋_GB2312"/>
                <w:szCs w:val="21"/>
                <w:highlight w:val="none"/>
              </w:rPr>
            </w:pPr>
            <w:r>
              <w:rPr>
                <w:rFonts w:hint="eastAsia" w:ascii="仿宋_GB2312" w:hAnsi="仿宋" w:eastAsia="仿宋_GB2312"/>
                <w:szCs w:val="21"/>
                <w:highlight w:val="none"/>
              </w:rPr>
              <w:t>2</w:t>
            </w:r>
            <w:r>
              <w:rPr>
                <w:rFonts w:hint="eastAsia" w:ascii="仿宋_GB2312" w:hAnsi="仿宋" w:eastAsia="仿宋_GB2312"/>
                <w:szCs w:val="21"/>
                <w:highlight w:val="none"/>
                <w:lang w:val="en-US" w:eastAsia="zh-CN"/>
              </w:rPr>
              <w:t>0</w:t>
            </w:r>
            <w:r>
              <w:rPr>
                <w:rFonts w:hint="eastAsia" w:ascii="仿宋_GB2312" w:hAnsi="仿宋" w:eastAsia="仿宋_GB2312"/>
                <w:szCs w:val="21"/>
                <w:highlight w:val="none"/>
              </w:rPr>
              <w:t>分/篇</w:t>
            </w:r>
          </w:p>
        </w:tc>
        <w:tc>
          <w:tcPr>
            <w:tcW w:w="8933" w:type="dxa"/>
            <w:gridSpan w:val="3"/>
            <w:vAlign w:val="center"/>
          </w:tcPr>
          <w:p>
            <w:pPr>
              <w:widowControl/>
              <w:spacing w:line="320" w:lineRule="exact"/>
              <w:jc w:val="left"/>
              <w:rPr>
                <w:rFonts w:hint="eastAsia" w:ascii="仿宋_GB2312" w:hAnsi="仿宋" w:eastAsia="仿宋_GB2312"/>
                <w:color w:val="auto"/>
                <w:szCs w:val="21"/>
                <w:highlight w:val="none"/>
                <w:lang w:eastAsia="zh-CN"/>
              </w:rPr>
            </w:pPr>
            <w:r>
              <w:rPr>
                <w:rFonts w:hint="eastAsia" w:ascii="仿宋_GB2312" w:hAnsi="仿宋" w:eastAsia="仿宋_GB2312"/>
                <w:b w:val="0"/>
                <w:bCs w:val="0"/>
                <w:color w:val="auto"/>
                <w:szCs w:val="21"/>
                <w:lang w:val="en-US" w:eastAsia="zh-CN"/>
              </w:rPr>
              <w:t>《常州大学人文社科期刊分级目录》（2022 版）指定的 C 类期刊论文、得到市厅级领导书面批示并被市厅级机关采纳推广的优秀调研报告）、</w:t>
            </w:r>
            <w:r>
              <w:rPr>
                <w:rFonts w:hint="eastAsia" w:ascii="仿宋_GB2312" w:hAnsi="仿宋" w:eastAsia="仿宋_GB2312"/>
                <w:szCs w:val="21"/>
                <w:highlight w:val="none"/>
                <w:lang w:val="en-US" w:eastAsia="zh-CN"/>
              </w:rPr>
              <w:t>中科院</w:t>
            </w:r>
            <w:r>
              <w:rPr>
                <w:rFonts w:hint="eastAsia" w:ascii="仿宋_GB2312" w:hAnsi="仿宋" w:eastAsia="仿宋_GB2312"/>
                <w:szCs w:val="21"/>
                <w:highlight w:val="none"/>
                <w:lang w:eastAsia="zh-CN"/>
              </w:rPr>
              <w:t>SCI(Ⅲ区)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widowControl/>
              <w:spacing w:line="320" w:lineRule="exact"/>
              <w:jc w:val="left"/>
              <w:rPr>
                <w:rFonts w:hint="eastAsia" w:ascii="仿宋_GB2312" w:hAnsi="仿宋" w:eastAsia="仿宋_GB2312"/>
                <w:szCs w:val="21"/>
              </w:rPr>
            </w:pPr>
          </w:p>
        </w:tc>
        <w:tc>
          <w:tcPr>
            <w:tcW w:w="1814" w:type="dxa"/>
            <w:vAlign w:val="center"/>
          </w:tcPr>
          <w:p>
            <w:pPr>
              <w:widowControl/>
              <w:spacing w:line="320" w:lineRule="exact"/>
              <w:jc w:val="left"/>
              <w:rPr>
                <w:rFonts w:hint="eastAsia" w:ascii="仿宋_GB2312" w:hAnsi="仿宋" w:eastAsia="仿宋_GB2312"/>
                <w:szCs w:val="21"/>
                <w:highlight w:val="none"/>
              </w:rPr>
            </w:pPr>
            <w:r>
              <w:rPr>
                <w:rFonts w:hint="eastAsia" w:ascii="仿宋_GB2312" w:hAnsi="仿宋" w:eastAsia="仿宋_GB2312"/>
                <w:szCs w:val="21"/>
                <w:highlight w:val="none"/>
              </w:rPr>
              <w:t>C16六档</w:t>
            </w:r>
          </w:p>
        </w:tc>
        <w:tc>
          <w:tcPr>
            <w:tcW w:w="1213" w:type="dxa"/>
            <w:vAlign w:val="center"/>
          </w:tcPr>
          <w:p>
            <w:pPr>
              <w:widowControl/>
              <w:spacing w:line="320" w:lineRule="exact"/>
              <w:jc w:val="center"/>
              <w:rPr>
                <w:rFonts w:hint="eastAsia" w:ascii="仿宋_GB2312" w:hAnsi="仿宋" w:eastAsia="仿宋_GB2312"/>
                <w:szCs w:val="21"/>
                <w:highlight w:val="none"/>
              </w:rPr>
            </w:pPr>
            <w:r>
              <w:rPr>
                <w:rFonts w:hint="eastAsia" w:ascii="仿宋_GB2312" w:hAnsi="仿宋" w:eastAsia="仿宋_GB2312"/>
                <w:szCs w:val="21"/>
                <w:highlight w:val="none"/>
                <w:lang w:val="en-US" w:eastAsia="zh-CN"/>
              </w:rPr>
              <w:t>4</w:t>
            </w:r>
            <w:r>
              <w:rPr>
                <w:rFonts w:hint="eastAsia" w:ascii="仿宋_GB2312" w:hAnsi="仿宋" w:eastAsia="仿宋_GB2312"/>
                <w:szCs w:val="21"/>
                <w:highlight w:val="none"/>
              </w:rPr>
              <w:t>分/篇</w:t>
            </w:r>
          </w:p>
        </w:tc>
        <w:tc>
          <w:tcPr>
            <w:tcW w:w="8933" w:type="dxa"/>
            <w:gridSpan w:val="3"/>
            <w:vAlign w:val="center"/>
          </w:tcPr>
          <w:p>
            <w:pPr>
              <w:widowControl/>
              <w:spacing w:line="320" w:lineRule="exact"/>
              <w:jc w:val="left"/>
              <w:rPr>
                <w:rFonts w:hint="eastAsia" w:ascii="仿宋_GB2312" w:hAnsi="仿宋" w:eastAsia="仿宋_GB2312"/>
                <w:szCs w:val="21"/>
                <w:highlight w:val="none"/>
                <w:lang w:eastAsia="zh-CN"/>
              </w:rPr>
            </w:pPr>
            <w:r>
              <w:rPr>
                <w:rFonts w:hint="eastAsia" w:ascii="仿宋_GB2312" w:hAnsi="仿宋" w:eastAsia="仿宋_GB2312"/>
                <w:szCs w:val="21"/>
                <w:highlight w:val="none"/>
                <w:lang w:eastAsia="zh-CN"/>
              </w:rPr>
              <w:t>《常州大学人文社科期刊分级目录》（2022 版）指定的核心类期刊 D 类期刊论文、常州大学学报(社会科学版)论文、在 CSSCI 源期刊发表的论文引用近二年常州大学学报论文的论文、</w:t>
            </w:r>
            <w:r>
              <w:rPr>
                <w:rFonts w:hint="eastAsia" w:ascii="仿宋_GB2312" w:hAnsi="仿宋" w:eastAsia="仿宋_GB2312"/>
                <w:szCs w:val="21"/>
                <w:highlight w:val="none"/>
                <w:lang w:val="en-US" w:eastAsia="zh-CN"/>
              </w:rPr>
              <w:t>中科院</w:t>
            </w:r>
            <w:r>
              <w:rPr>
                <w:rFonts w:hint="eastAsia" w:ascii="仿宋_GB2312" w:hAnsi="仿宋" w:eastAsia="仿宋_GB2312"/>
                <w:szCs w:val="21"/>
                <w:highlight w:val="none"/>
                <w:lang w:eastAsia="zh-CN"/>
              </w:rPr>
              <w:t>SCI(Ⅳ区)、EI(JA)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60" w:lineRule="exact"/>
              <w:rPr>
                <w:rFonts w:hint="eastAsia" w:ascii="仿宋_GB2312" w:hAnsi="仿宋" w:eastAsia="仿宋_GB2312" w:cs="Times New Roman"/>
                <w:kern w:val="2"/>
                <w:sz w:val="21"/>
                <w:szCs w:val="21"/>
                <w:highlight w:val="none"/>
                <w:lang w:val="en-US" w:eastAsia="zh-CN" w:bidi="ar-SA"/>
              </w:rPr>
            </w:pPr>
            <w:r>
              <w:rPr>
                <w:rFonts w:hint="eastAsia" w:ascii="仿宋_GB2312" w:hAnsi="仿宋" w:eastAsia="仿宋_GB2312"/>
                <w:szCs w:val="21"/>
                <w:highlight w:val="none"/>
              </w:rPr>
              <w:t>C1</w:t>
            </w:r>
            <w:r>
              <w:rPr>
                <w:rFonts w:hint="eastAsia" w:ascii="仿宋_GB2312" w:hAnsi="仿宋" w:eastAsia="仿宋_GB2312"/>
                <w:szCs w:val="21"/>
                <w:highlight w:val="none"/>
                <w:lang w:val="en-US" w:eastAsia="zh-CN"/>
              </w:rPr>
              <w:t>8八</w:t>
            </w:r>
            <w:r>
              <w:rPr>
                <w:rFonts w:hint="eastAsia" w:ascii="仿宋_GB2312" w:hAnsi="仿宋" w:eastAsia="仿宋_GB2312"/>
                <w:szCs w:val="21"/>
                <w:highlight w:val="none"/>
              </w:rPr>
              <w:t>档</w:t>
            </w:r>
          </w:p>
        </w:tc>
        <w:tc>
          <w:tcPr>
            <w:tcW w:w="1213" w:type="dxa"/>
            <w:vAlign w:val="center"/>
          </w:tcPr>
          <w:p>
            <w:pPr>
              <w:spacing w:line="360" w:lineRule="exact"/>
              <w:jc w:val="center"/>
              <w:rPr>
                <w:rFonts w:hint="eastAsia" w:ascii="仿宋_GB2312" w:hAnsi="仿宋" w:eastAsia="仿宋_GB2312" w:cs="Times New Roman"/>
                <w:kern w:val="2"/>
                <w:sz w:val="21"/>
                <w:szCs w:val="21"/>
                <w:highlight w:val="none"/>
                <w:lang w:val="en-US" w:eastAsia="zh-CN" w:bidi="ar-SA"/>
              </w:rPr>
            </w:pPr>
            <w:r>
              <w:rPr>
                <w:rFonts w:hint="eastAsia" w:ascii="仿宋_GB2312" w:hAnsi="仿宋" w:eastAsia="仿宋_GB2312"/>
                <w:szCs w:val="21"/>
                <w:highlight w:val="none"/>
                <w:lang w:val="en-US" w:eastAsia="zh-CN"/>
              </w:rPr>
              <w:t>1分</w:t>
            </w:r>
            <w:r>
              <w:rPr>
                <w:rFonts w:hint="eastAsia" w:ascii="仿宋_GB2312" w:hAnsi="仿宋" w:eastAsia="仿宋_GB2312"/>
                <w:szCs w:val="21"/>
                <w:highlight w:val="none"/>
              </w:rPr>
              <w:t>/篇</w:t>
            </w:r>
          </w:p>
        </w:tc>
        <w:tc>
          <w:tcPr>
            <w:tcW w:w="8933" w:type="dxa"/>
            <w:gridSpan w:val="3"/>
            <w:vAlign w:val="center"/>
          </w:tcPr>
          <w:p>
            <w:pPr>
              <w:widowControl/>
              <w:spacing w:line="320" w:lineRule="exact"/>
              <w:jc w:val="left"/>
              <w:rPr>
                <w:rFonts w:hint="eastAsia" w:ascii="仿宋_GB2312" w:hAnsi="仿宋" w:eastAsia="仿宋_GB2312"/>
                <w:szCs w:val="21"/>
                <w:highlight w:val="none"/>
              </w:rPr>
            </w:pPr>
            <w:r>
              <w:rPr>
                <w:rFonts w:hint="eastAsia" w:ascii="仿宋_GB2312" w:hAnsi="仿宋" w:eastAsia="仿宋_GB2312"/>
                <w:szCs w:val="21"/>
                <w:highlight w:val="none"/>
              </w:rPr>
              <w:t>《常州大学人文社科期刊分级目录》（2022 版）指定的核心类期刊 E 类期刊论文，常州大学学报被人大复印资料索引、被市社科联“社科视点”、市科协“科技工作者建议”、《常州日报》理论版(2000字以上)等刊载的优秀论文或优秀调研报告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Align w:val="center"/>
          </w:tcPr>
          <w:p>
            <w:pPr>
              <w:spacing w:line="360" w:lineRule="exact"/>
              <w:rPr>
                <w:rFonts w:ascii="仿宋_GB2312" w:hAnsi="仿宋" w:eastAsia="仿宋_GB2312"/>
                <w:sz w:val="24"/>
              </w:rPr>
            </w:pPr>
            <w:r>
              <w:rPr>
                <w:rFonts w:hint="eastAsia" w:ascii="仿宋_GB2312" w:hAnsi="仿宋" w:eastAsia="仿宋_GB2312"/>
                <w:sz w:val="24"/>
              </w:rPr>
              <w:t>C2 著作</w:t>
            </w:r>
          </w:p>
        </w:tc>
        <w:tc>
          <w:tcPr>
            <w:tcW w:w="1814" w:type="dxa"/>
            <w:vAlign w:val="center"/>
          </w:tcPr>
          <w:p>
            <w:pPr>
              <w:spacing w:line="360" w:lineRule="exact"/>
              <w:rPr>
                <w:rFonts w:ascii="仿宋_GB2312" w:hAnsi="仿宋" w:eastAsia="仿宋_GB2312"/>
                <w:szCs w:val="21"/>
              </w:rPr>
            </w:pPr>
            <w:r>
              <w:rPr>
                <w:rFonts w:hint="eastAsia" w:ascii="仿宋_GB2312" w:hAnsi="仿宋" w:eastAsia="仿宋_GB2312"/>
                <w:szCs w:val="21"/>
              </w:rPr>
              <w:t>C</w:t>
            </w:r>
            <w:r>
              <w:rPr>
                <w:rFonts w:hint="eastAsia" w:ascii="仿宋_GB2312" w:hAnsi="仿宋" w:eastAsia="仿宋_GB2312"/>
                <w:szCs w:val="21"/>
                <w:lang w:val="en-US" w:eastAsia="zh-CN"/>
              </w:rPr>
              <w:t>21</w:t>
            </w:r>
            <w:r>
              <w:rPr>
                <w:rFonts w:hint="eastAsia" w:ascii="仿宋_GB2312" w:hAnsi="仿宋" w:eastAsia="仿宋_GB2312"/>
                <w:szCs w:val="21"/>
              </w:rPr>
              <w:t>独立撰写或参编著作</w:t>
            </w:r>
          </w:p>
        </w:tc>
        <w:tc>
          <w:tcPr>
            <w:tcW w:w="1213" w:type="dxa"/>
            <w:vAlign w:val="center"/>
          </w:tcPr>
          <w:p>
            <w:pPr>
              <w:spacing w:line="320" w:lineRule="exact"/>
              <w:jc w:val="center"/>
              <w:rPr>
                <w:rFonts w:ascii="仿宋_GB2312" w:hAnsi="仿宋" w:eastAsia="仿宋_GB2312"/>
                <w:szCs w:val="21"/>
              </w:rPr>
            </w:pPr>
            <w:r>
              <w:rPr>
                <w:rFonts w:hint="eastAsia" w:ascii="仿宋_GB2312" w:hAnsi="仿宋" w:eastAsia="仿宋_GB2312"/>
                <w:szCs w:val="21"/>
              </w:rPr>
              <w:t>1-10分</w:t>
            </w:r>
          </w:p>
        </w:tc>
        <w:tc>
          <w:tcPr>
            <w:tcW w:w="8933" w:type="dxa"/>
            <w:gridSpan w:val="3"/>
            <w:vAlign w:val="center"/>
          </w:tcPr>
          <w:p>
            <w:pPr>
              <w:widowControl/>
              <w:spacing w:line="320" w:lineRule="exact"/>
              <w:rPr>
                <w:rFonts w:hint="eastAsia" w:ascii="仿宋_GB2312" w:hAnsi="仿宋" w:eastAsia="仿宋_GB2312"/>
                <w:szCs w:val="21"/>
              </w:rPr>
            </w:pPr>
          </w:p>
          <w:p>
            <w:pPr>
              <w:widowControl/>
              <w:spacing w:line="320" w:lineRule="exact"/>
              <w:rPr>
                <w:rFonts w:hint="eastAsia" w:ascii="仿宋_GB2312" w:hAnsi="仿宋" w:eastAsia="仿宋_GB2312"/>
                <w:szCs w:val="21"/>
              </w:rPr>
            </w:pPr>
            <w:r>
              <w:rPr>
                <w:rFonts w:hint="eastAsia" w:ascii="仿宋_GB2312" w:hAnsi="仿宋" w:eastAsia="仿宋_GB2312"/>
                <w:szCs w:val="21"/>
              </w:rPr>
              <w:t>经明确认定，有独立参编相应章节的，字数每达1万字计1分，最高不超过10分。</w:t>
            </w:r>
          </w:p>
          <w:p>
            <w:pPr>
              <w:widowControl/>
              <w:spacing w:line="320" w:lineRule="exact"/>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C3学术报告</w:t>
            </w: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C</w:t>
            </w:r>
            <w:r>
              <w:rPr>
                <w:rFonts w:hint="eastAsia" w:ascii="仿宋_GB2312" w:hAnsi="仿宋" w:eastAsia="仿宋_GB2312"/>
                <w:szCs w:val="21"/>
                <w:lang w:val="en-US" w:eastAsia="zh-CN"/>
              </w:rPr>
              <w:t>31</w:t>
            </w:r>
            <w:r>
              <w:rPr>
                <w:rFonts w:hint="eastAsia" w:ascii="仿宋_GB2312" w:hAnsi="仿宋" w:eastAsia="仿宋_GB2312"/>
                <w:w w:val="80"/>
                <w:szCs w:val="21"/>
              </w:rPr>
              <w:t>国际会议（境外举办）</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10</w:t>
            </w:r>
            <w:r>
              <w:rPr>
                <w:rFonts w:hint="eastAsia" w:ascii="仿宋_GB2312" w:hAnsi="仿宋" w:eastAsia="仿宋_GB2312"/>
                <w:szCs w:val="21"/>
                <w:lang w:val="en-US" w:eastAsia="zh-CN"/>
              </w:rPr>
              <w:t>-</w:t>
            </w:r>
            <w:r>
              <w:rPr>
                <w:rFonts w:hint="eastAsia" w:ascii="仿宋_GB2312" w:hAnsi="仿宋" w:eastAsia="仿宋_GB2312"/>
                <w:szCs w:val="21"/>
              </w:rPr>
              <w:t>20分</w:t>
            </w:r>
          </w:p>
        </w:tc>
        <w:tc>
          <w:tcPr>
            <w:tcW w:w="4282"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C31须参会并作口头报告20分，Poster计10分，并附佐证材料。在B3境外交流期间产生的C31分值不重复计算。</w:t>
            </w:r>
          </w:p>
        </w:tc>
        <w:tc>
          <w:tcPr>
            <w:tcW w:w="4651" w:type="dxa"/>
            <w:vMerge w:val="restart"/>
            <w:vAlign w:val="center"/>
          </w:tcPr>
          <w:p>
            <w:pPr>
              <w:spacing w:line="320" w:lineRule="exact"/>
              <w:rPr>
                <w:rFonts w:ascii="仿宋_GB2312" w:hAnsi="仿宋" w:eastAsia="仿宋_GB2312"/>
                <w:szCs w:val="21"/>
              </w:rPr>
            </w:pPr>
            <w:r>
              <w:rPr>
                <w:rFonts w:hint="eastAsia" w:ascii="仿宋_GB2312" w:hAnsi="仿宋" w:eastAsia="仿宋_GB2312"/>
                <w:szCs w:val="21"/>
              </w:rPr>
              <w:t>须作会议报告，并附佐证材料（汇报名单、照片）。学年内仅计1次。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w:t>
            </w:r>
            <w:r>
              <w:rPr>
                <w:rFonts w:hint="eastAsia" w:ascii="仿宋_GB2312" w:hAnsi="仿宋" w:eastAsia="仿宋_GB2312"/>
                <w:szCs w:val="21"/>
                <w:lang w:val="en-US" w:eastAsia="zh-CN"/>
              </w:rPr>
              <w:t>32</w:t>
            </w:r>
            <w:r>
              <w:rPr>
                <w:rFonts w:hint="eastAsia" w:ascii="仿宋_GB2312" w:hAnsi="仿宋" w:eastAsia="仿宋_GB2312"/>
                <w:szCs w:val="21"/>
              </w:rPr>
              <w:t>国内会议</w:t>
            </w:r>
          </w:p>
        </w:tc>
        <w:tc>
          <w:tcPr>
            <w:tcW w:w="1213" w:type="dxa"/>
            <w:vAlign w:val="center"/>
          </w:tcPr>
          <w:p>
            <w:pPr>
              <w:spacing w:line="320" w:lineRule="exact"/>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4</w:t>
            </w:r>
            <w:r>
              <w:rPr>
                <w:rFonts w:hint="eastAsia" w:ascii="仿宋_GB2312" w:hAnsi="仿宋" w:eastAsia="仿宋_GB2312"/>
                <w:szCs w:val="21"/>
              </w:rPr>
              <w:t>分</w:t>
            </w:r>
          </w:p>
        </w:tc>
        <w:tc>
          <w:tcPr>
            <w:tcW w:w="4282" w:type="dxa"/>
            <w:gridSpan w:val="2"/>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C32须参会并作大会报告或分会场主旨报告，并附佐证材料。</w:t>
            </w:r>
          </w:p>
        </w:tc>
        <w:tc>
          <w:tcPr>
            <w:tcW w:w="4651" w:type="dxa"/>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C</w:t>
            </w:r>
            <w:r>
              <w:rPr>
                <w:rFonts w:hint="eastAsia" w:ascii="仿宋_GB2312" w:hAnsi="仿宋" w:eastAsia="仿宋_GB2312"/>
                <w:szCs w:val="21"/>
                <w:lang w:val="en-US" w:eastAsia="zh-CN"/>
              </w:rPr>
              <w:t>34</w:t>
            </w:r>
            <w:r>
              <w:rPr>
                <w:rFonts w:hint="eastAsia" w:ascii="仿宋_GB2312" w:hAnsi="仿宋" w:eastAsia="仿宋_GB2312"/>
                <w:szCs w:val="21"/>
              </w:rPr>
              <w:t>校级学术论坛</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2分</w:t>
            </w:r>
          </w:p>
        </w:tc>
        <w:tc>
          <w:tcPr>
            <w:tcW w:w="4282" w:type="dxa"/>
            <w:gridSpan w:val="2"/>
            <w:vAlign w:val="center"/>
          </w:tcPr>
          <w:p>
            <w:pPr>
              <w:spacing w:line="320" w:lineRule="exact"/>
              <w:rPr>
                <w:rFonts w:ascii="仿宋_GB2312" w:hAnsi="仿宋" w:eastAsia="仿宋_GB2312"/>
                <w:szCs w:val="21"/>
              </w:rPr>
            </w:pPr>
            <w:r>
              <w:rPr>
                <w:rFonts w:hint="eastAsia" w:ascii="仿宋_GB2312" w:hAnsi="仿宋" w:eastAsia="仿宋_GB2312"/>
                <w:szCs w:val="21"/>
              </w:rPr>
              <w:t>C34学校举办、跨学院举办的学术论坛都属于校级学术论坛。</w:t>
            </w:r>
          </w:p>
        </w:tc>
        <w:tc>
          <w:tcPr>
            <w:tcW w:w="4651" w:type="dxa"/>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widowControl/>
              <w:spacing w:line="320" w:lineRule="exact"/>
              <w:rPr>
                <w:rFonts w:ascii="仿宋_GB2312" w:hAnsi="仿宋" w:eastAsia="仿宋_GB2312" w:cs="宋体"/>
                <w:color w:val="FF0000"/>
                <w:kern w:val="0"/>
                <w:sz w:val="24"/>
              </w:rPr>
            </w:pPr>
            <w:r>
              <w:rPr>
                <w:rFonts w:hint="eastAsia" w:ascii="仿宋_GB2312" w:hAnsi="仿宋" w:eastAsia="仿宋_GB2312"/>
                <w:szCs w:val="21"/>
              </w:rPr>
              <w:t>C</w:t>
            </w:r>
            <w:r>
              <w:rPr>
                <w:rFonts w:hint="eastAsia" w:ascii="仿宋_GB2312" w:hAnsi="仿宋" w:eastAsia="仿宋_GB2312"/>
                <w:szCs w:val="21"/>
                <w:lang w:val="en-US" w:eastAsia="zh-CN"/>
              </w:rPr>
              <w:t>35</w:t>
            </w:r>
            <w:r>
              <w:rPr>
                <w:rFonts w:hint="eastAsia" w:ascii="仿宋_GB2312" w:hAnsi="仿宋" w:eastAsia="仿宋_GB2312"/>
                <w:szCs w:val="21"/>
              </w:rPr>
              <w:t>院级学术论坛</w:t>
            </w:r>
          </w:p>
        </w:tc>
        <w:tc>
          <w:tcPr>
            <w:tcW w:w="1213" w:type="dxa"/>
            <w:vAlign w:val="center"/>
          </w:tcPr>
          <w:p>
            <w:pPr>
              <w:widowControl/>
              <w:spacing w:line="320" w:lineRule="exact"/>
              <w:ind w:firstLine="210" w:firstLineChars="10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1</w:t>
            </w:r>
            <w:r>
              <w:rPr>
                <w:rFonts w:hint="eastAsia" w:ascii="仿宋_GB2312" w:hAnsi="仿宋" w:eastAsia="仿宋_GB2312"/>
                <w:szCs w:val="21"/>
                <w:lang w:val="en-US" w:eastAsia="zh-CN"/>
              </w:rPr>
              <w:t>-</w:t>
            </w:r>
            <w:r>
              <w:rPr>
                <w:rFonts w:hint="eastAsia" w:ascii="仿宋_GB2312" w:hAnsi="仿宋" w:eastAsia="仿宋_GB2312"/>
                <w:szCs w:val="21"/>
              </w:rPr>
              <w:t>2分</w:t>
            </w:r>
          </w:p>
        </w:tc>
        <w:tc>
          <w:tcPr>
            <w:tcW w:w="4282" w:type="dxa"/>
            <w:gridSpan w:val="2"/>
            <w:vAlign w:val="center"/>
          </w:tcPr>
          <w:p>
            <w:pPr>
              <w:widowControl/>
              <w:spacing w:line="320" w:lineRule="exact"/>
              <w:rPr>
                <w:rFonts w:ascii="仿宋_GB2312" w:hAnsi="仿宋" w:eastAsia="仿宋_GB2312"/>
                <w:szCs w:val="21"/>
              </w:rPr>
            </w:pPr>
            <w:r>
              <w:rPr>
                <w:rFonts w:hint="eastAsia" w:ascii="仿宋_GB2312" w:hAnsi="仿宋" w:eastAsia="仿宋_GB2312"/>
                <w:szCs w:val="21"/>
              </w:rPr>
              <w:t>C35</w:t>
            </w:r>
            <w:r>
              <w:rPr>
                <w:rFonts w:hint="eastAsia" w:ascii="仿宋_GB2312" w:hAnsi="仿宋" w:eastAsia="仿宋_GB2312"/>
                <w:b w:val="0"/>
                <w:bCs w:val="0"/>
                <w:color w:val="auto"/>
                <w:szCs w:val="21"/>
                <w:lang w:val="en-US" w:eastAsia="zh-CN"/>
              </w:rPr>
              <w:t>参加</w:t>
            </w:r>
            <w:r>
              <w:rPr>
                <w:rFonts w:hint="eastAsia" w:ascii="仿宋_GB2312" w:hAnsi="仿宋" w:eastAsia="仿宋_GB2312"/>
                <w:b w:val="0"/>
                <w:bCs w:val="0"/>
                <w:color w:val="auto"/>
                <w:szCs w:val="21"/>
              </w:rPr>
              <w:t>学院</w:t>
            </w:r>
            <w:r>
              <w:rPr>
                <w:rFonts w:hint="eastAsia" w:ascii="仿宋_GB2312" w:hAnsi="仿宋" w:eastAsia="仿宋_GB2312"/>
                <w:b w:val="0"/>
                <w:bCs w:val="0"/>
                <w:color w:val="auto"/>
                <w:szCs w:val="21"/>
                <w:lang w:val="en-US" w:eastAsia="zh-CN"/>
              </w:rPr>
              <w:t>举办的学术论坛加1分，获得优秀表彰者可再加1分；</w:t>
            </w:r>
          </w:p>
        </w:tc>
        <w:tc>
          <w:tcPr>
            <w:tcW w:w="4651" w:type="dxa"/>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C4知识产权</w:t>
            </w: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C41 外国发明专</w:t>
            </w:r>
          </w:p>
          <w:p>
            <w:pPr>
              <w:spacing w:line="320" w:lineRule="exact"/>
              <w:rPr>
                <w:rFonts w:ascii="仿宋_GB2312" w:hAnsi="仿宋" w:eastAsia="仿宋_GB2312"/>
                <w:szCs w:val="21"/>
              </w:rPr>
            </w:pPr>
            <w:r>
              <w:rPr>
                <w:rFonts w:hint="eastAsia" w:ascii="仿宋_GB2312" w:hAnsi="仿宋" w:eastAsia="仿宋_GB2312"/>
                <w:szCs w:val="21"/>
              </w:rPr>
              <w:t>利授权</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50 分/项</w:t>
            </w:r>
          </w:p>
        </w:tc>
        <w:tc>
          <w:tcPr>
            <w:tcW w:w="8933" w:type="dxa"/>
            <w:gridSpan w:val="3"/>
            <w:vMerge w:val="restart"/>
            <w:vAlign w:val="center"/>
          </w:tcPr>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C41-C46 须以常州大学为第一申请单位，本人排名第一，或导师排名第一本人排名第</w:t>
            </w:r>
          </w:p>
          <w:p>
            <w:pPr>
              <w:spacing w:line="320" w:lineRule="exact"/>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二，对于软件著作权其申报联系人须为学生，并附佐证材料；C41、C42、C45 需提供</w:t>
            </w:r>
          </w:p>
          <w:p>
            <w:pPr>
              <w:spacing w:line="320" w:lineRule="exact"/>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专利授权证书，C43、C44 需有申请公布号；C41、C42、C43、C44、C45、C46 为同一</w:t>
            </w:r>
          </w:p>
          <w:p>
            <w:pPr>
              <w:spacing w:line="320" w:lineRule="exact"/>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项目的以最高分计；C43、C44、C46 学年内最多分别计 3 项、C45 学年内最多计 4 项。</w:t>
            </w:r>
          </w:p>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p>
          <w:p>
            <w:pPr>
              <w:spacing w:line="320" w:lineRule="exact"/>
              <w:jc w:val="left"/>
              <w:rPr>
                <w:rFonts w:hint="eastAsia" w:ascii="仿宋_GB2312" w:hAnsi="仿宋"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hint="eastAsia"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C42 国家发明专</w:t>
            </w:r>
          </w:p>
          <w:p>
            <w:pPr>
              <w:spacing w:line="320" w:lineRule="exact"/>
              <w:rPr>
                <w:rFonts w:hint="eastAsia" w:ascii="仿宋_GB2312" w:hAnsi="仿宋" w:eastAsia="仿宋_GB2312"/>
                <w:szCs w:val="21"/>
              </w:rPr>
            </w:pPr>
            <w:r>
              <w:rPr>
                <w:rFonts w:hint="eastAsia" w:ascii="仿宋_GB2312" w:hAnsi="仿宋" w:eastAsia="仿宋_GB2312"/>
                <w:szCs w:val="21"/>
              </w:rPr>
              <w:t>利授权</w:t>
            </w:r>
          </w:p>
        </w:tc>
        <w:tc>
          <w:tcPr>
            <w:tcW w:w="1213" w:type="dxa"/>
            <w:vAlign w:val="center"/>
          </w:tcPr>
          <w:p>
            <w:pPr>
              <w:spacing w:line="320" w:lineRule="exact"/>
              <w:jc w:val="center"/>
              <w:rPr>
                <w:rFonts w:hint="eastAsia" w:ascii="仿宋_GB2312" w:hAnsi="仿宋" w:eastAsia="仿宋_GB2312"/>
                <w:szCs w:val="21"/>
              </w:rPr>
            </w:pPr>
            <w:r>
              <w:rPr>
                <w:rFonts w:hint="eastAsia" w:ascii="仿宋_GB2312" w:hAnsi="仿宋" w:eastAsia="仿宋_GB2312"/>
                <w:szCs w:val="21"/>
              </w:rPr>
              <w:t>30 分/项</w:t>
            </w:r>
          </w:p>
        </w:tc>
        <w:tc>
          <w:tcPr>
            <w:tcW w:w="8933" w:type="dxa"/>
            <w:gridSpan w:val="3"/>
            <w:vMerge w:val="continue"/>
            <w:vAlign w:val="center"/>
          </w:tcPr>
          <w:p>
            <w:pPr>
              <w:spacing w:line="320" w:lineRule="exact"/>
              <w:jc w:val="left"/>
              <w:rPr>
                <w:rFonts w:ascii="仿宋_GB2312" w:hAnsi="仿宋"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C43 外国发明专</w:t>
            </w:r>
          </w:p>
          <w:p>
            <w:pPr>
              <w:spacing w:line="320" w:lineRule="exact"/>
              <w:rPr>
                <w:rFonts w:ascii="仿宋_GB2312" w:hAnsi="仿宋" w:eastAsia="仿宋_GB2312"/>
                <w:szCs w:val="21"/>
              </w:rPr>
            </w:pPr>
            <w:r>
              <w:rPr>
                <w:rFonts w:hint="eastAsia" w:ascii="仿宋_GB2312" w:hAnsi="仿宋" w:eastAsia="仿宋_GB2312"/>
                <w:szCs w:val="21"/>
              </w:rPr>
              <w:t>利申请公开</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C44 国家发明专</w:t>
            </w:r>
          </w:p>
          <w:p>
            <w:pPr>
              <w:spacing w:line="320" w:lineRule="exact"/>
              <w:rPr>
                <w:rFonts w:ascii="仿宋_GB2312" w:hAnsi="仿宋" w:eastAsia="仿宋_GB2312"/>
                <w:szCs w:val="21"/>
              </w:rPr>
            </w:pPr>
            <w:r>
              <w:rPr>
                <w:rFonts w:hint="eastAsia" w:ascii="仿宋_GB2312" w:hAnsi="仿宋" w:eastAsia="仿宋_GB2312"/>
                <w:szCs w:val="21"/>
              </w:rPr>
              <w:t>利申请公开</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3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C45 国内实用新</w:t>
            </w:r>
          </w:p>
          <w:p>
            <w:pPr>
              <w:spacing w:line="320" w:lineRule="exact"/>
              <w:rPr>
                <w:rFonts w:ascii="仿宋_GB2312" w:hAnsi="仿宋" w:eastAsia="仿宋_GB2312"/>
                <w:szCs w:val="21"/>
              </w:rPr>
            </w:pPr>
            <w:r>
              <w:rPr>
                <w:rFonts w:hint="eastAsia" w:ascii="仿宋_GB2312" w:hAnsi="仿宋" w:eastAsia="仿宋_GB2312"/>
                <w:szCs w:val="21"/>
              </w:rPr>
              <w:t>型专利授权</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C46 软件著作权</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C5成果转让</w:t>
            </w: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C51 E&lt;5 万</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20 分/项</w:t>
            </w:r>
          </w:p>
        </w:tc>
        <w:tc>
          <w:tcPr>
            <w:tcW w:w="8933" w:type="dxa"/>
            <w:gridSpan w:val="3"/>
            <w:vMerge w:val="restart"/>
            <w:vAlign w:val="center"/>
          </w:tcPr>
          <w:p>
            <w:pPr>
              <w:spacing w:line="320" w:lineRule="exact"/>
              <w:rPr>
                <w:rFonts w:ascii="仿宋_GB2312" w:hAnsi="仿宋" w:eastAsia="仿宋_GB2312"/>
                <w:szCs w:val="21"/>
              </w:rPr>
            </w:pPr>
            <w:r>
              <w:rPr>
                <w:rFonts w:hint="eastAsia" w:ascii="仿宋_GB2312" w:hAnsi="仿宋" w:eastAsia="仿宋_GB2312"/>
                <w:szCs w:val="21"/>
              </w:rPr>
              <w:t>C5 专利为在研期间取得并转让，E 代表转让金额。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hint="eastAsia"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C52 5 万≤E&lt;10 万</w:t>
            </w:r>
          </w:p>
        </w:tc>
        <w:tc>
          <w:tcPr>
            <w:tcW w:w="1213" w:type="dxa"/>
            <w:vAlign w:val="center"/>
          </w:tcPr>
          <w:p>
            <w:pPr>
              <w:spacing w:line="320" w:lineRule="exact"/>
              <w:jc w:val="center"/>
              <w:rPr>
                <w:rFonts w:hint="eastAsia" w:ascii="仿宋_GB2312" w:hAnsi="仿宋" w:eastAsia="仿宋_GB2312"/>
                <w:szCs w:val="21"/>
              </w:rPr>
            </w:pPr>
            <w:r>
              <w:rPr>
                <w:rFonts w:hint="eastAsia" w:ascii="仿宋_GB2312" w:hAnsi="仿宋" w:eastAsia="仿宋_GB2312"/>
                <w:szCs w:val="21"/>
              </w:rPr>
              <w:t>30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hint="eastAsia"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C53 10 万≤E&lt;30 万</w:t>
            </w:r>
          </w:p>
        </w:tc>
        <w:tc>
          <w:tcPr>
            <w:tcW w:w="1213" w:type="dxa"/>
            <w:vAlign w:val="center"/>
          </w:tcPr>
          <w:p>
            <w:pPr>
              <w:spacing w:line="320" w:lineRule="exact"/>
              <w:jc w:val="center"/>
              <w:rPr>
                <w:rFonts w:hint="eastAsia" w:ascii="仿宋_GB2312" w:hAnsi="仿宋" w:eastAsia="仿宋_GB2312"/>
                <w:szCs w:val="21"/>
              </w:rPr>
            </w:pPr>
            <w:r>
              <w:rPr>
                <w:rFonts w:hint="eastAsia" w:ascii="仿宋_GB2312" w:hAnsi="仿宋" w:eastAsia="仿宋_GB2312"/>
                <w:szCs w:val="21"/>
              </w:rPr>
              <w:t>35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hint="eastAsia"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C54 30万≤E&lt;100万</w:t>
            </w:r>
          </w:p>
        </w:tc>
        <w:tc>
          <w:tcPr>
            <w:tcW w:w="1213" w:type="dxa"/>
            <w:vAlign w:val="center"/>
          </w:tcPr>
          <w:p>
            <w:pPr>
              <w:spacing w:line="320" w:lineRule="exact"/>
              <w:jc w:val="center"/>
              <w:rPr>
                <w:rFonts w:hint="eastAsia" w:ascii="仿宋_GB2312" w:hAnsi="仿宋" w:eastAsia="仿宋_GB2312"/>
                <w:szCs w:val="21"/>
              </w:rPr>
            </w:pPr>
            <w:r>
              <w:rPr>
                <w:rFonts w:hint="eastAsia" w:ascii="仿宋_GB2312" w:hAnsi="仿宋" w:eastAsia="仿宋_GB2312"/>
                <w:szCs w:val="21"/>
              </w:rPr>
              <w:t>40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hint="eastAsia" w:ascii="仿宋_GB2312" w:hAnsi="仿宋" w:eastAsia="仿宋_GB2312"/>
                <w:sz w:val="24"/>
              </w:rPr>
            </w:pPr>
          </w:p>
        </w:tc>
        <w:tc>
          <w:tcPr>
            <w:tcW w:w="1814" w:type="dxa"/>
            <w:vAlign w:val="center"/>
          </w:tcPr>
          <w:p>
            <w:pPr>
              <w:spacing w:line="320" w:lineRule="exact"/>
              <w:rPr>
                <w:rFonts w:hint="eastAsia" w:ascii="仿宋_GB2312" w:hAnsi="仿宋" w:eastAsia="仿宋_GB2312"/>
                <w:szCs w:val="21"/>
              </w:rPr>
            </w:pPr>
            <w:r>
              <w:rPr>
                <w:rFonts w:hint="eastAsia" w:ascii="仿宋_GB2312" w:hAnsi="仿宋" w:eastAsia="仿宋_GB2312"/>
                <w:szCs w:val="21"/>
              </w:rPr>
              <w:t>C55 E≥100 万</w:t>
            </w:r>
          </w:p>
        </w:tc>
        <w:tc>
          <w:tcPr>
            <w:tcW w:w="1213" w:type="dxa"/>
            <w:vAlign w:val="center"/>
          </w:tcPr>
          <w:p>
            <w:pPr>
              <w:spacing w:line="320" w:lineRule="exact"/>
              <w:jc w:val="center"/>
              <w:rPr>
                <w:rFonts w:hint="eastAsia" w:ascii="仿宋_GB2312" w:hAnsi="仿宋" w:eastAsia="仿宋_GB2312"/>
                <w:szCs w:val="21"/>
              </w:rPr>
            </w:pPr>
            <w:r>
              <w:rPr>
                <w:rFonts w:hint="eastAsia" w:ascii="仿宋_GB2312" w:hAnsi="仿宋" w:eastAsia="仿宋_GB2312"/>
                <w:szCs w:val="21"/>
              </w:rPr>
              <w:t>50 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vAlign w:val="center"/>
          </w:tcPr>
          <w:p>
            <w:pPr>
              <w:spacing w:line="360" w:lineRule="exact"/>
              <w:rPr>
                <w:rFonts w:ascii="仿宋_GB2312" w:hAnsi="仿宋" w:eastAsia="仿宋_GB2312" w:cs="Times New Roman"/>
                <w:kern w:val="2"/>
                <w:sz w:val="24"/>
                <w:szCs w:val="24"/>
                <w:lang w:val="en-US" w:eastAsia="zh-CN" w:bidi="ar-SA"/>
              </w:rPr>
            </w:pPr>
            <w:r>
              <w:rPr>
                <w:rFonts w:hint="eastAsia" w:ascii="仿宋_GB2312" w:hAnsi="仿宋" w:eastAsia="仿宋_GB2312"/>
                <w:sz w:val="24"/>
              </w:rPr>
              <w:t>C6科研项目</w:t>
            </w:r>
          </w:p>
        </w:tc>
        <w:tc>
          <w:tcPr>
            <w:tcW w:w="1814" w:type="dxa"/>
            <w:vAlign w:val="center"/>
          </w:tcPr>
          <w:p>
            <w:pPr>
              <w:spacing w:line="320" w:lineRule="exact"/>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C61省立校助</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4分/项</w:t>
            </w:r>
          </w:p>
        </w:tc>
        <w:tc>
          <w:tcPr>
            <w:tcW w:w="8933" w:type="dxa"/>
            <w:gridSpan w:val="3"/>
            <w:vMerge w:val="restart"/>
            <w:vAlign w:val="center"/>
          </w:tcPr>
          <w:p>
            <w:pPr>
              <w:spacing w:line="320" w:lineRule="exact"/>
              <w:rPr>
                <w:rFonts w:ascii="仿宋_GB2312" w:hAnsi="仿宋" w:eastAsia="仿宋_GB2312"/>
                <w:szCs w:val="21"/>
              </w:rPr>
            </w:pPr>
            <w:r>
              <w:rPr>
                <w:rFonts w:hint="eastAsia" w:ascii="仿宋_GB2312" w:hAnsi="仿宋" w:eastAsia="仿宋_GB2312"/>
                <w:szCs w:val="21"/>
              </w:rPr>
              <w:t>C6 研究生本人主持的江苏省科研与实践创新计划项目立项。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C62省立院助</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lang w:val="en-US" w:eastAsia="zh-CN"/>
              </w:rPr>
              <w:t>2</w:t>
            </w:r>
            <w:r>
              <w:rPr>
                <w:rFonts w:hint="eastAsia" w:ascii="仿宋_GB2312" w:hAnsi="仿宋" w:eastAsia="仿宋_GB2312"/>
                <w:szCs w:val="21"/>
              </w:rPr>
              <w:t>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C7科研获奖</w:t>
            </w: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C71国家级</w:t>
            </w:r>
          </w:p>
        </w:tc>
        <w:tc>
          <w:tcPr>
            <w:tcW w:w="1213" w:type="dxa"/>
            <w:vAlign w:val="center"/>
          </w:tcPr>
          <w:p>
            <w:pPr>
              <w:spacing w:line="320" w:lineRule="exact"/>
              <w:jc w:val="center"/>
              <w:rPr>
                <w:rFonts w:hint="eastAsia" w:ascii="仿宋_GB2312" w:hAnsi="仿宋"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200分/项</w:t>
            </w:r>
          </w:p>
        </w:tc>
        <w:tc>
          <w:tcPr>
            <w:tcW w:w="8933" w:type="dxa"/>
            <w:gridSpan w:val="3"/>
            <w:vMerge w:val="restart"/>
            <w:vAlign w:val="center"/>
          </w:tcPr>
          <w:p>
            <w:pPr>
              <w:spacing w:line="320" w:lineRule="exact"/>
              <w:rPr>
                <w:rFonts w:ascii="仿宋_GB2312" w:hAnsi="仿宋" w:eastAsia="仿宋_GB2312"/>
                <w:szCs w:val="21"/>
              </w:rPr>
            </w:pPr>
            <w:r>
              <w:rPr>
                <w:rFonts w:hint="eastAsia" w:ascii="仿宋_GB2312" w:hAnsi="仿宋" w:eastAsia="仿宋_GB2312"/>
                <w:szCs w:val="21"/>
              </w:rPr>
              <w:t>C71</w:t>
            </w:r>
            <w:r>
              <w:rPr>
                <w:rFonts w:hint="eastAsia" w:ascii="仿宋_GB2312" w:hAnsi="仿宋" w:eastAsia="仿宋_GB2312"/>
                <w:szCs w:val="21"/>
                <w:lang w:val="en-US" w:eastAsia="zh-CN"/>
              </w:rPr>
              <w:t>-</w:t>
            </w:r>
            <w:r>
              <w:rPr>
                <w:rFonts w:hint="eastAsia" w:ascii="仿宋_GB2312" w:hAnsi="仿宋" w:eastAsia="仿宋_GB2312"/>
                <w:szCs w:val="21"/>
              </w:rPr>
              <w:t>C73排名前五，且只计除导师外排名第一学生。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C72省部级一等奖</w:t>
            </w:r>
          </w:p>
        </w:tc>
        <w:tc>
          <w:tcPr>
            <w:tcW w:w="1213" w:type="dxa"/>
            <w:vAlign w:val="center"/>
          </w:tcPr>
          <w:p>
            <w:pPr>
              <w:spacing w:line="320" w:lineRule="exact"/>
              <w:jc w:val="center"/>
              <w:rPr>
                <w:rFonts w:hint="eastAsia" w:ascii="仿宋_GB2312" w:hAnsi="仿宋"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150分/项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C73省部级二等奖</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80分/项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widowControl/>
              <w:spacing w:line="320" w:lineRule="exact"/>
              <w:rPr>
                <w:rFonts w:ascii="仿宋_GB2312" w:hAnsi="仿宋" w:eastAsia="仿宋_GB2312" w:cs="宋体"/>
                <w:kern w:val="0"/>
                <w:sz w:val="24"/>
              </w:rPr>
            </w:pPr>
            <w:r>
              <w:rPr>
                <w:rFonts w:hint="eastAsia" w:ascii="仿宋_GB2312" w:hAnsi="仿宋" w:eastAsia="仿宋_GB2312"/>
                <w:kern w:val="0"/>
              </w:rPr>
              <w:t>C74</w:t>
            </w:r>
            <w:r>
              <w:rPr>
                <w:rFonts w:hint="eastAsia" w:ascii="仿宋_GB2312" w:hAnsi="仿宋" w:eastAsia="仿宋_GB2312" w:cs="宋体"/>
                <w:kern w:val="0"/>
              </w:rPr>
              <w:t>其它奖项</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5分/项</w:t>
            </w:r>
          </w:p>
        </w:tc>
        <w:tc>
          <w:tcPr>
            <w:tcW w:w="8933" w:type="dxa"/>
            <w:gridSpan w:val="3"/>
            <w:vAlign w:val="center"/>
          </w:tcPr>
          <w:p>
            <w:pPr>
              <w:widowControl/>
              <w:spacing w:line="320" w:lineRule="exact"/>
              <w:rPr>
                <w:rFonts w:ascii="仿宋_GB2312" w:hAnsi="仿宋" w:eastAsia="仿宋_GB2312" w:cs="宋体"/>
                <w:kern w:val="0"/>
                <w:sz w:val="24"/>
              </w:rPr>
            </w:pPr>
            <w:r>
              <w:rPr>
                <w:rFonts w:hint="eastAsia" w:ascii="仿宋_GB2312" w:hAnsi="仿宋" w:eastAsia="仿宋_GB2312"/>
                <w:kern w:val="0"/>
              </w:rPr>
              <w:t>C74</w:t>
            </w:r>
            <w:r>
              <w:rPr>
                <w:rFonts w:hint="eastAsia" w:ascii="仿宋_GB2312" w:hAnsi="仿宋" w:eastAsia="仿宋_GB2312" w:cs="宋体"/>
                <w:kern w:val="0"/>
              </w:rPr>
              <w:t>为学院认可的奖项，且只计除导师外排名第一学生。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D实践能力</w:t>
            </w:r>
          </w:p>
        </w:tc>
        <w:tc>
          <w:tcPr>
            <w:tcW w:w="1462" w:type="dxa"/>
            <w:vMerge w:val="restart"/>
            <w:vAlign w:val="center"/>
          </w:tcPr>
          <w:p>
            <w:pPr>
              <w:spacing w:line="360" w:lineRule="exact"/>
              <w:rPr>
                <w:rFonts w:ascii="仿宋_GB2312" w:hAnsi="仿宋" w:eastAsia="仿宋_GB2312"/>
                <w:sz w:val="24"/>
              </w:rPr>
            </w:pPr>
            <w:r>
              <w:rPr>
                <w:rFonts w:hint="eastAsia" w:ascii="仿宋_GB2312" w:hAnsi="仿宋" w:eastAsia="仿宋_GB2312"/>
                <w:sz w:val="24"/>
              </w:rPr>
              <w:t>D1各类竞赛</w:t>
            </w: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D11 I级甲等</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60分/项</w:t>
            </w:r>
          </w:p>
        </w:tc>
        <w:tc>
          <w:tcPr>
            <w:tcW w:w="8933" w:type="dxa"/>
            <w:gridSpan w:val="3"/>
            <w:vMerge w:val="restart"/>
            <w:vAlign w:val="center"/>
          </w:tcPr>
          <w:p>
            <w:pPr>
              <w:spacing w:line="320" w:lineRule="exact"/>
              <w:rPr>
                <w:rFonts w:hint="eastAsia" w:ascii="仿宋_GB2312" w:hAnsi="仿宋" w:eastAsia="仿宋_GB2312"/>
                <w:szCs w:val="21"/>
              </w:rPr>
            </w:pPr>
            <w:r>
              <w:rPr>
                <w:rFonts w:hint="eastAsia" w:ascii="仿宋_GB2312" w:hAnsi="仿宋" w:eastAsia="仿宋_GB2312"/>
                <w:szCs w:val="21"/>
              </w:rPr>
              <w:t xml:space="preserve"> 奖项等级系数：国赛第一层次为 1，第二层次为 0.4，第三层次为 0.2，其他层次为0.1；类别系数：个人项目为 1，团体赛项目由负责人统筹分配到各成员且总系数不超过 1，由学院认定。(竞赛等级参照《关于调整常州大学大学生 I 级竞赛项目的通知》常大创〔2023〕25 号中的规定，未列入该项目的“中国研究生创新实践系列大赛”获奖按照 I 级丙等相应层次加分)</w:t>
            </w:r>
          </w:p>
          <w:p>
            <w:pPr>
              <w:spacing w:line="320" w:lineRule="exact"/>
              <w:rPr>
                <w:rFonts w:ascii="仿宋_GB2312" w:hAnsi="仿宋" w:eastAsia="仿宋_GB2312"/>
                <w:szCs w:val="21"/>
              </w:rPr>
            </w:pPr>
            <w:r>
              <w:rPr>
                <w:rFonts w:hint="eastAsia" w:ascii="仿宋_GB2312" w:hAnsi="仿宋" w:eastAsia="仿宋_GB2312"/>
                <w:szCs w:val="21"/>
              </w:rPr>
              <w:t>D14 为学院认可的奖励，相关计分系数学院根据实际执行。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D12 I级乙等</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40分/项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D13 I级丙等</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20分/项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sz w:val="24"/>
              </w:rPr>
            </w:pPr>
          </w:p>
        </w:tc>
        <w:tc>
          <w:tcPr>
            <w:tcW w:w="1462" w:type="dxa"/>
            <w:vMerge w:val="continue"/>
            <w:vAlign w:val="center"/>
          </w:tcPr>
          <w:p>
            <w:pPr>
              <w:spacing w:line="360" w:lineRule="exact"/>
              <w:rPr>
                <w:rFonts w:ascii="仿宋_GB2312" w:hAnsi="仿宋" w:eastAsia="仿宋_GB2312"/>
                <w:sz w:val="24"/>
              </w:rPr>
            </w:pP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D14其他奖项</w:t>
            </w:r>
          </w:p>
        </w:tc>
        <w:tc>
          <w:tcPr>
            <w:tcW w:w="1213" w:type="dxa"/>
            <w:vAlign w:val="center"/>
          </w:tcPr>
          <w:p>
            <w:pPr>
              <w:spacing w:line="320" w:lineRule="exact"/>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10分/项</w:t>
            </w:r>
          </w:p>
        </w:tc>
        <w:tc>
          <w:tcPr>
            <w:tcW w:w="8933" w:type="dxa"/>
            <w:gridSpan w:val="3"/>
            <w:vMerge w:val="continue"/>
            <w:vAlign w:val="center"/>
          </w:tcPr>
          <w:p>
            <w:pPr>
              <w:spacing w:line="320" w:lineRule="exac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20" w:lineRule="exact"/>
              <w:rPr>
                <w:rFonts w:ascii="仿宋_GB2312" w:hAnsi="仿宋" w:eastAsia="仿宋_GB2312"/>
                <w:szCs w:val="21"/>
              </w:rPr>
            </w:pPr>
          </w:p>
        </w:tc>
        <w:tc>
          <w:tcPr>
            <w:tcW w:w="1462" w:type="dxa"/>
            <w:vMerge w:val="restart"/>
            <w:vAlign w:val="center"/>
          </w:tcPr>
          <w:p>
            <w:pPr>
              <w:spacing w:line="360" w:lineRule="exact"/>
              <w:rPr>
                <w:rFonts w:ascii="仿宋_GB2312" w:hAnsi="仿宋" w:eastAsia="仿宋_GB2312"/>
                <w:szCs w:val="21"/>
              </w:rPr>
            </w:pPr>
            <w:r>
              <w:rPr>
                <w:rFonts w:hint="eastAsia" w:ascii="仿宋_GB2312" w:hAnsi="仿宋" w:eastAsia="仿宋_GB2312"/>
                <w:sz w:val="24"/>
              </w:rPr>
              <w:t>D2普通作品</w:t>
            </w:r>
          </w:p>
        </w:tc>
        <w:tc>
          <w:tcPr>
            <w:tcW w:w="1814" w:type="dxa"/>
            <w:vAlign w:val="center"/>
          </w:tcPr>
          <w:p>
            <w:pPr>
              <w:spacing w:line="320" w:lineRule="exact"/>
              <w:rPr>
                <w:rFonts w:ascii="仿宋_GB2312" w:hAnsi="仿宋" w:eastAsia="仿宋_GB2312"/>
                <w:szCs w:val="21"/>
              </w:rPr>
            </w:pPr>
            <w:r>
              <w:rPr>
                <w:rFonts w:hint="eastAsia" w:ascii="仿宋_GB2312" w:hAnsi="仿宋" w:eastAsia="仿宋_GB2312"/>
                <w:szCs w:val="21"/>
              </w:rPr>
              <w:t>D21中国研究生</w:t>
            </w:r>
          </w:p>
        </w:tc>
        <w:tc>
          <w:tcPr>
            <w:tcW w:w="1213" w:type="dxa"/>
            <w:vAlign w:val="center"/>
          </w:tcPr>
          <w:p>
            <w:pPr>
              <w:spacing w:line="320" w:lineRule="exact"/>
              <w:ind w:firstLine="210" w:firstLineChars="10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szCs w:val="21"/>
              </w:rPr>
              <w:t>3分/篇</w:t>
            </w:r>
          </w:p>
        </w:tc>
        <w:tc>
          <w:tcPr>
            <w:tcW w:w="8933" w:type="dxa"/>
            <w:gridSpan w:val="3"/>
            <w:vMerge w:val="restart"/>
            <w:vAlign w:val="center"/>
          </w:tcPr>
          <w:p>
            <w:pPr>
              <w:spacing w:line="320" w:lineRule="exact"/>
              <w:rPr>
                <w:rFonts w:ascii="仿宋_GB2312" w:hAnsi="仿宋" w:eastAsia="仿宋_GB2312"/>
                <w:szCs w:val="21"/>
              </w:rPr>
            </w:pPr>
            <w:r>
              <w:rPr>
                <w:rFonts w:hint="eastAsia" w:ascii="仿宋_GB2312" w:hAnsi="仿宋" w:eastAsia="仿宋_GB2312"/>
                <w:szCs w:val="21"/>
              </w:rPr>
              <w:t>D21项限2篇，D22项限在校级以上报刊、媒体上发布通讯报道，限5篇（不重复计分）。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20" w:lineRule="exact"/>
              <w:rPr>
                <w:rFonts w:eastAsia="仿宋_GB2312"/>
                <w:szCs w:val="21"/>
              </w:rPr>
            </w:pPr>
          </w:p>
        </w:tc>
        <w:tc>
          <w:tcPr>
            <w:tcW w:w="1462" w:type="dxa"/>
            <w:vMerge w:val="continue"/>
            <w:vAlign w:val="center"/>
          </w:tcPr>
          <w:p>
            <w:pPr>
              <w:spacing w:line="320" w:lineRule="exact"/>
              <w:rPr>
                <w:rFonts w:eastAsia="仿宋_GB2312"/>
                <w:szCs w:val="21"/>
              </w:rPr>
            </w:pPr>
          </w:p>
        </w:tc>
        <w:tc>
          <w:tcPr>
            <w:tcW w:w="1814" w:type="dxa"/>
            <w:vAlign w:val="center"/>
          </w:tcPr>
          <w:p>
            <w:pPr>
              <w:spacing w:line="320" w:lineRule="exact"/>
              <w:rPr>
                <w:rFonts w:eastAsia="仿宋_GB2312"/>
                <w:szCs w:val="21"/>
              </w:rPr>
            </w:pPr>
            <w:r>
              <w:rPr>
                <w:rFonts w:hint="eastAsia" w:ascii="仿宋_GB2312" w:hAnsi="仿宋" w:eastAsia="仿宋_GB2312"/>
                <w:szCs w:val="21"/>
              </w:rPr>
              <w:t xml:space="preserve">D22 其他报刊、媒体 </w:t>
            </w:r>
          </w:p>
        </w:tc>
        <w:tc>
          <w:tcPr>
            <w:tcW w:w="1213" w:type="dxa"/>
            <w:vAlign w:val="center"/>
          </w:tcPr>
          <w:p>
            <w:pPr>
              <w:spacing w:line="320" w:lineRule="exact"/>
              <w:ind w:firstLine="210" w:firstLineChars="100"/>
              <w:jc w:val="center"/>
              <w:rPr>
                <w:rFonts w:ascii="Times New Roman" w:hAnsi="Times New Roman" w:eastAsia="仿宋_GB2312" w:cs="Times New Roman"/>
                <w:kern w:val="2"/>
                <w:sz w:val="21"/>
                <w:szCs w:val="21"/>
                <w:lang w:val="en-US" w:eastAsia="zh-CN" w:bidi="ar-SA"/>
              </w:rPr>
            </w:pPr>
            <w:r>
              <w:rPr>
                <w:rFonts w:eastAsia="仿宋_GB2312"/>
                <w:szCs w:val="21"/>
              </w:rPr>
              <w:t>1</w:t>
            </w:r>
            <w:r>
              <w:rPr>
                <w:rFonts w:hint="eastAsia" w:eastAsia="仿宋_GB2312"/>
                <w:szCs w:val="21"/>
              </w:rPr>
              <w:t>分/篇</w:t>
            </w:r>
          </w:p>
        </w:tc>
        <w:tc>
          <w:tcPr>
            <w:tcW w:w="8933" w:type="dxa"/>
            <w:gridSpan w:val="3"/>
            <w:vMerge w:val="continue"/>
            <w:vAlign w:val="center"/>
          </w:tcPr>
          <w:p>
            <w:pPr>
              <w:spacing w:line="320" w:lineRule="exact"/>
              <w:rPr>
                <w:rFonts w:eastAsia="仿宋_GB2312"/>
                <w:szCs w:val="21"/>
              </w:rPr>
            </w:pPr>
          </w:p>
        </w:tc>
      </w:tr>
    </w:tbl>
    <w:tbl>
      <w:tblPr>
        <w:tblStyle w:val="8"/>
        <w:tblpPr w:leftFromText="180" w:rightFromText="180" w:vertAnchor="text" w:tblpX="-1381" w:tblpY="-18536"/>
        <w:tblOverlap w:val="never"/>
        <w:tblW w:w="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356" w:type="dxa"/>
          </w:tcPr>
          <w:p>
            <w:pPr>
              <w:spacing w:line="320" w:lineRule="exact"/>
              <w:rPr>
                <w:rFonts w:ascii="仿宋" w:hAnsi="仿宋" w:eastAsia="仿宋"/>
                <w:szCs w:val="21"/>
                <w:vertAlign w:val="baseline"/>
              </w:rPr>
            </w:pPr>
          </w:p>
        </w:tc>
      </w:tr>
    </w:tbl>
    <w:p>
      <w:pPr>
        <w:spacing w:line="320" w:lineRule="exact"/>
        <w:rPr>
          <w:rFonts w:ascii="仿宋" w:hAnsi="仿宋" w:eastAsia="仿宋"/>
          <w:szCs w:val="21"/>
        </w:rPr>
      </w:pPr>
    </w:p>
    <w:p>
      <w:pPr>
        <w:spacing w:line="320" w:lineRule="exact"/>
        <w:rPr>
          <w:rFonts w:ascii="仿宋" w:hAnsi="仿宋" w:eastAsia="仿宋"/>
          <w:szCs w:val="21"/>
        </w:rPr>
      </w:pPr>
    </w:p>
    <w:p>
      <w:pPr>
        <w:spacing w:line="320" w:lineRule="exact"/>
        <w:rPr>
          <w:rFonts w:ascii="仿宋" w:hAnsi="仿宋" w:eastAsia="仿宋"/>
          <w:szCs w:val="21"/>
        </w:rPr>
      </w:pPr>
    </w:p>
    <w:p>
      <w:pPr>
        <w:spacing w:line="320" w:lineRule="exact"/>
        <w:rPr>
          <w:rFonts w:ascii="仿宋" w:hAnsi="仿宋" w:eastAsia="仿宋"/>
          <w:szCs w:val="21"/>
        </w:rPr>
      </w:pPr>
      <w:r>
        <w:rPr>
          <w:rFonts w:ascii="仿宋" w:hAnsi="仿宋" w:eastAsia="仿宋"/>
          <w:szCs w:val="21"/>
        </w:rPr>
        <w:t>说明：</w:t>
      </w:r>
    </w:p>
    <w:p>
      <w:pPr>
        <w:widowControl/>
        <w:numPr>
          <w:ilvl w:val="0"/>
          <w:numId w:val="1"/>
        </w:numPr>
        <w:spacing w:line="360" w:lineRule="exact"/>
        <w:ind w:firstLine="422" w:firstLineChars="200"/>
        <w:rPr>
          <w:rFonts w:hint="eastAsia" w:ascii="仿宋" w:hAnsi="仿宋" w:eastAsia="仿宋" w:cs="宋体"/>
          <w:kern w:val="0"/>
          <w:szCs w:val="21"/>
          <w:lang w:val="en-US" w:eastAsia="zh-CN"/>
        </w:rPr>
      </w:pPr>
      <w:r>
        <w:rPr>
          <w:rFonts w:hint="eastAsia" w:ascii="仿宋" w:hAnsi="仿宋" w:eastAsia="仿宋" w:cs="宋体"/>
          <w:b/>
          <w:bCs/>
          <w:kern w:val="0"/>
          <w:szCs w:val="21"/>
          <w:lang w:val="en-US" w:eastAsia="zh-CN"/>
        </w:rPr>
        <w:t>学业奖学金分值</w:t>
      </w:r>
      <w:r>
        <w:rPr>
          <w:rFonts w:hint="eastAsia" w:ascii="仿宋" w:hAnsi="仿宋" w:eastAsia="仿宋" w:cs="宋体"/>
          <w:b/>
          <w:bCs/>
          <w:kern w:val="0"/>
          <w:szCs w:val="21"/>
        </w:rPr>
        <w:t>=思想品德分</w:t>
      </w:r>
      <w:r>
        <w:rPr>
          <w:rFonts w:hint="eastAsia" w:ascii="仿宋" w:hAnsi="仿宋" w:eastAsia="仿宋" w:cs="宋体"/>
          <w:b/>
          <w:bCs/>
          <w:kern w:val="0"/>
          <w:szCs w:val="21"/>
          <w:lang w:val="en-US" w:eastAsia="zh-CN"/>
        </w:rPr>
        <w:t>A</w:t>
      </w:r>
      <w:r>
        <w:rPr>
          <w:rFonts w:hint="eastAsia" w:ascii="仿宋" w:hAnsi="仿宋" w:eastAsia="仿宋" w:cs="宋体"/>
          <w:b/>
          <w:bCs/>
          <w:kern w:val="0"/>
          <w:szCs w:val="21"/>
        </w:rPr>
        <w:t>+学业成绩分</w:t>
      </w:r>
      <w:r>
        <w:rPr>
          <w:rFonts w:hint="eastAsia" w:ascii="仿宋" w:hAnsi="仿宋" w:eastAsia="仿宋" w:cs="宋体"/>
          <w:b/>
          <w:bCs/>
          <w:kern w:val="0"/>
          <w:szCs w:val="21"/>
          <w:lang w:val="en-US" w:eastAsia="zh-CN"/>
        </w:rPr>
        <w:t>B</w:t>
      </w:r>
      <w:r>
        <w:rPr>
          <w:rFonts w:hint="eastAsia" w:ascii="仿宋" w:hAnsi="仿宋" w:eastAsia="仿宋" w:cs="宋体"/>
          <w:b/>
          <w:bCs/>
          <w:kern w:val="0"/>
          <w:szCs w:val="21"/>
        </w:rPr>
        <w:t>+科研能力分</w:t>
      </w:r>
      <w:r>
        <w:rPr>
          <w:rFonts w:hint="eastAsia" w:ascii="仿宋" w:hAnsi="仿宋" w:eastAsia="仿宋" w:cs="宋体"/>
          <w:b/>
          <w:bCs/>
          <w:kern w:val="0"/>
          <w:szCs w:val="21"/>
          <w:lang w:val="en-US" w:eastAsia="zh-CN"/>
        </w:rPr>
        <w:t>C</w:t>
      </w:r>
      <w:r>
        <w:rPr>
          <w:rFonts w:hint="eastAsia" w:ascii="仿宋" w:hAnsi="仿宋" w:eastAsia="仿宋" w:cs="宋体"/>
          <w:b/>
          <w:bCs/>
          <w:kern w:val="0"/>
          <w:szCs w:val="21"/>
        </w:rPr>
        <w:t>+实践能力分</w:t>
      </w:r>
      <w:r>
        <w:rPr>
          <w:rFonts w:hint="eastAsia" w:ascii="仿宋" w:hAnsi="仿宋" w:eastAsia="仿宋" w:cs="宋体"/>
          <w:b/>
          <w:bCs/>
          <w:kern w:val="0"/>
          <w:szCs w:val="21"/>
          <w:lang w:val="en-US" w:eastAsia="zh-CN"/>
        </w:rPr>
        <w:t>D</w:t>
      </w:r>
      <w:r>
        <w:rPr>
          <w:rFonts w:hint="eastAsia" w:ascii="仿宋" w:hAnsi="仿宋" w:eastAsia="仿宋" w:cs="宋体"/>
          <w:kern w:val="0"/>
          <w:szCs w:val="21"/>
          <w:lang w:eastAsia="zh-CN"/>
        </w:rPr>
        <w:t>，</w:t>
      </w:r>
      <w:r>
        <w:rPr>
          <w:rFonts w:hint="eastAsia" w:ascii="仿宋" w:hAnsi="仿宋" w:eastAsia="仿宋" w:cs="宋体"/>
          <w:kern w:val="0"/>
          <w:szCs w:val="21"/>
          <w:lang w:val="en-US" w:eastAsia="zh-CN"/>
        </w:rPr>
        <w:t>由高到低排序。</w:t>
      </w:r>
      <w:r>
        <w:rPr>
          <w:rFonts w:hint="eastAsia" w:ascii="仿宋" w:hAnsi="仿宋" w:eastAsia="仿宋" w:cs="宋体"/>
          <w:kern w:val="0"/>
          <w:szCs w:val="21"/>
        </w:rPr>
        <w:t>在总分相同的情况下，C项得分高者优先</w:t>
      </w:r>
      <w:r>
        <w:rPr>
          <w:rFonts w:hint="eastAsia" w:ascii="仿宋" w:hAnsi="仿宋" w:eastAsia="仿宋" w:cs="宋体"/>
          <w:kern w:val="0"/>
          <w:szCs w:val="21"/>
          <w:lang w:eastAsia="zh-CN"/>
        </w:rPr>
        <w:t>；</w:t>
      </w:r>
      <w:r>
        <w:rPr>
          <w:rFonts w:hint="eastAsia" w:ascii="仿宋" w:hAnsi="仿宋" w:eastAsia="仿宋" w:cs="宋体"/>
          <w:kern w:val="0"/>
          <w:szCs w:val="21"/>
          <w:lang w:val="en-US" w:eastAsia="zh-CN"/>
        </w:rPr>
        <w:t>C若相同，再看D；D若相同，再看A；A若相同，再看B</w:t>
      </w:r>
      <w:r>
        <w:rPr>
          <w:rFonts w:hint="eastAsia" w:ascii="仿宋" w:hAnsi="仿宋" w:eastAsia="仿宋" w:cs="宋体"/>
          <w:kern w:val="0"/>
          <w:szCs w:val="21"/>
        </w:rPr>
        <w:t>。</w:t>
      </w:r>
      <w:r>
        <w:rPr>
          <w:rFonts w:hint="eastAsia" w:ascii="仿宋" w:hAnsi="仿宋" w:eastAsia="仿宋" w:cs="宋体"/>
          <w:kern w:val="0"/>
          <w:szCs w:val="21"/>
          <w:lang w:val="en-US" w:eastAsia="zh-CN"/>
        </w:rPr>
        <w:t>若所有分数都相同，上报院评审委员会讨论。</w:t>
      </w:r>
    </w:p>
    <w:p>
      <w:pPr>
        <w:widowControl/>
        <w:numPr>
          <w:ilvl w:val="0"/>
          <w:numId w:val="0"/>
        </w:numPr>
        <w:spacing w:line="360" w:lineRule="exact"/>
        <w:ind w:firstLine="420" w:firstLineChars="200"/>
        <w:rPr>
          <w:rFonts w:hint="eastAsia" w:ascii="仿宋" w:hAnsi="仿宋" w:eastAsia="仿宋" w:cs="宋体"/>
          <w:kern w:val="0"/>
          <w:szCs w:val="21"/>
        </w:rPr>
      </w:pPr>
      <w:r>
        <w:rPr>
          <w:rFonts w:hint="eastAsia" w:ascii="仿宋" w:hAnsi="仿宋" w:eastAsia="仿宋" w:cs="宋体"/>
          <w:kern w:val="0"/>
          <w:szCs w:val="21"/>
          <w:lang w:val="en-US" w:eastAsia="zh-CN"/>
        </w:rPr>
        <w:t>（2）</w:t>
      </w:r>
      <w:r>
        <w:rPr>
          <w:rFonts w:hint="eastAsia" w:ascii="仿宋" w:hAnsi="仿宋" w:eastAsia="仿宋" w:cs="宋体"/>
          <w:b/>
          <w:bCs/>
          <w:kern w:val="0"/>
          <w:szCs w:val="21"/>
          <w:lang w:val="en-US" w:eastAsia="zh-CN"/>
        </w:rPr>
        <w:t>国家奖学金分值=A+B+C*5+D</w:t>
      </w:r>
      <w:r>
        <w:rPr>
          <w:rFonts w:hint="eastAsia" w:ascii="仿宋" w:hAnsi="仿宋" w:eastAsia="仿宋" w:cs="宋体"/>
          <w:kern w:val="0"/>
          <w:szCs w:val="21"/>
          <w:lang w:val="en-US" w:eastAsia="zh-CN"/>
        </w:rPr>
        <w:t>，由高到低排序，原则上不连续两年获得国家奖学金，特殊情况由院评审委员会讨论。</w:t>
      </w:r>
    </w:p>
    <w:p>
      <w:pPr>
        <w:widowControl/>
        <w:spacing w:line="360" w:lineRule="exact"/>
        <w:ind w:firstLine="420" w:firstLineChars="200"/>
        <w:rPr>
          <w:rFonts w:hint="default" w:ascii="仿宋" w:hAnsi="仿宋" w:eastAsia="仿宋" w:cs="宋体"/>
          <w:kern w:val="0"/>
          <w:szCs w:val="21"/>
          <w:lang w:val="en-US" w:eastAsia="zh-CN"/>
        </w:rPr>
      </w:pPr>
      <w:r>
        <w:rPr>
          <w:rFonts w:hint="eastAsia" w:ascii="仿宋" w:hAnsi="仿宋" w:eastAsia="仿宋" w:cs="宋体"/>
          <w:kern w:val="0"/>
          <w:szCs w:val="21"/>
        </w:rPr>
        <w:t>（</w:t>
      </w:r>
      <w:r>
        <w:rPr>
          <w:rFonts w:hint="eastAsia" w:ascii="仿宋" w:hAnsi="仿宋" w:eastAsia="仿宋" w:cs="宋体"/>
          <w:kern w:val="0"/>
          <w:szCs w:val="21"/>
          <w:lang w:val="en-US" w:eastAsia="zh-CN"/>
        </w:rPr>
        <w:t>3</w:t>
      </w:r>
      <w:r>
        <w:rPr>
          <w:rFonts w:hint="eastAsia" w:ascii="仿宋" w:hAnsi="仿宋" w:eastAsia="仿宋" w:cs="宋体"/>
          <w:kern w:val="0"/>
          <w:szCs w:val="21"/>
        </w:rPr>
        <w:t>）计分依据：细则内每项成果</w:t>
      </w:r>
      <w:r>
        <w:rPr>
          <w:rFonts w:hint="eastAsia" w:ascii="仿宋" w:hAnsi="仿宋" w:eastAsia="仿宋" w:cs="宋体"/>
          <w:kern w:val="0"/>
          <w:szCs w:val="21"/>
          <w:lang w:val="en-US" w:eastAsia="zh-CN"/>
        </w:rPr>
        <w:t>时间范围为</w:t>
      </w:r>
      <w:r>
        <w:rPr>
          <w:rFonts w:hint="eastAsia" w:ascii="仿宋" w:hAnsi="仿宋" w:eastAsia="仿宋" w:cs="宋体"/>
          <w:b/>
          <w:bCs/>
          <w:kern w:val="0"/>
          <w:szCs w:val="21"/>
          <w:lang w:val="en-US" w:eastAsia="zh-CN"/>
        </w:rPr>
        <w:t>开展测评工作的上年9月1日——当年测评工作通知下发当日</w:t>
      </w:r>
      <w:r>
        <w:rPr>
          <w:rFonts w:hint="eastAsia" w:ascii="仿宋" w:hAnsi="仿宋" w:eastAsia="仿宋" w:cs="宋体"/>
          <w:kern w:val="0"/>
          <w:szCs w:val="21"/>
          <w:lang w:eastAsia="zh-CN"/>
        </w:rPr>
        <w:t>，</w:t>
      </w:r>
      <w:r>
        <w:rPr>
          <w:rFonts w:hint="eastAsia" w:ascii="仿宋" w:hAnsi="仿宋" w:eastAsia="仿宋" w:cs="宋体"/>
          <w:kern w:val="0"/>
          <w:szCs w:val="21"/>
        </w:rPr>
        <w:t>中文论文须以正式发表见刊</w:t>
      </w:r>
      <w:r>
        <w:rPr>
          <w:rFonts w:hint="eastAsia" w:ascii="仿宋" w:hAnsi="仿宋" w:eastAsia="仿宋" w:cs="宋体"/>
          <w:kern w:val="0"/>
          <w:szCs w:val="21"/>
          <w:lang w:val="en-US" w:eastAsia="zh-CN"/>
        </w:rPr>
        <w:t>或者中国知网网络发布</w:t>
      </w:r>
      <w:r>
        <w:rPr>
          <w:rFonts w:hint="eastAsia" w:ascii="仿宋" w:hAnsi="仿宋" w:eastAsia="仿宋" w:cs="宋体"/>
          <w:kern w:val="0"/>
          <w:szCs w:val="21"/>
        </w:rPr>
        <w:t>为准，英文论文须以ONLINE为准，收录情况须出具检索证明。</w:t>
      </w:r>
      <w:r>
        <w:rPr>
          <w:rFonts w:hint="eastAsia" w:ascii="仿宋" w:hAnsi="仿宋" w:eastAsia="仿宋" w:cs="宋体"/>
          <w:b/>
          <w:bCs/>
          <w:kern w:val="0"/>
          <w:szCs w:val="21"/>
          <w:lang w:val="en-US" w:eastAsia="zh-CN"/>
        </w:rPr>
        <w:t>同一成果仅限计分1次，不得跨学年使用。</w:t>
      </w:r>
    </w:p>
    <w:p>
      <w:pPr>
        <w:widowControl/>
        <w:spacing w:line="360" w:lineRule="exact"/>
        <w:ind w:firstLine="420" w:firstLineChars="200"/>
        <w:rPr>
          <w:rFonts w:hint="eastAsia"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4</w:t>
      </w:r>
      <w:r>
        <w:rPr>
          <w:rFonts w:hint="eastAsia" w:ascii="仿宋" w:hAnsi="仿宋" w:eastAsia="仿宋" w:cs="宋体"/>
          <w:kern w:val="0"/>
          <w:szCs w:val="21"/>
        </w:rPr>
        <w:t xml:space="preserve">）论文计分原则：论文若被《新华文摘》《人大复印资料》全文转载，转载前已用于上一轮申报并获得奖励，则本次申报须扣除上次已用分值；若成果具备多重性质，以最高分计，不累计；以第一作者（仅指物理排位第一，不含共同第一作者）正式发表的学术论文，导师为第一作者且学生为第二作者的论文按50%计，成果须与学位论文研究内容相关；以常州大学为第一署名单位，若为SCI论文，同时须以常州大学为通讯作者单位（中外合作培养、联合培养除外）。 </w:t>
      </w:r>
    </w:p>
    <w:p>
      <w:pPr>
        <w:widowControl/>
        <w:spacing w:line="360" w:lineRule="exact"/>
        <w:ind w:firstLine="420" w:firstLineChars="200"/>
        <w:rPr>
          <w:rFonts w:hint="eastAsia"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5）班级</w:t>
      </w:r>
      <w:r>
        <w:rPr>
          <w:rFonts w:hint="eastAsia" w:ascii="仿宋" w:hAnsi="仿宋" w:eastAsia="仿宋" w:cs="宋体"/>
          <w:kern w:val="0"/>
          <w:szCs w:val="21"/>
        </w:rPr>
        <w:t>须提供所有参评学生本细则中涉及的所有成果汇总。A2项≤6分不得参评学业奖学金；综合评定分≤10分不得参评二等及以上学业奖学金，综合评定分≤20分不得参评一等学业奖学金。</w:t>
      </w:r>
    </w:p>
    <w:p>
      <w:pPr>
        <w:widowControl/>
        <w:spacing w:line="360" w:lineRule="exact"/>
        <w:ind w:firstLine="420" w:firstLineChars="200"/>
        <w:rPr>
          <w:rFonts w:hint="eastAsia" w:ascii="仿宋" w:hAnsi="仿宋" w:eastAsia="仿宋" w:cs="宋体"/>
          <w:kern w:val="0"/>
          <w:szCs w:val="21"/>
        </w:rPr>
      </w:pPr>
    </w:p>
    <w:p>
      <w:pPr>
        <w:keepNext w:val="0"/>
        <w:keepLines w:val="0"/>
        <w:pageBreakBefore/>
        <w:widowControl/>
        <w:kinsoku/>
        <w:wordWrap/>
        <w:overflowPunct/>
        <w:topLinePunct w:val="0"/>
        <w:autoSpaceDE/>
        <w:autoSpaceDN/>
        <w:bidi w:val="0"/>
        <w:adjustRightInd/>
        <w:snapToGrid/>
        <w:spacing w:line="360" w:lineRule="exact"/>
        <w:textAlignment w:val="auto"/>
        <w:rPr>
          <w:rFonts w:ascii="宋体" w:hAnsi="宋体" w:cs="宋体"/>
          <w:b/>
          <w:bCs/>
          <w:kern w:val="0"/>
          <w:sz w:val="24"/>
        </w:rPr>
      </w:pPr>
      <w:r>
        <w:rPr>
          <w:rFonts w:hint="eastAsia" w:ascii="仿宋_GB2312" w:hAnsi="宋体" w:eastAsia="仿宋_GB2312"/>
          <w:b/>
          <w:bCs/>
          <w:sz w:val="24"/>
        </w:rPr>
        <w:t>附表（A</w:t>
      </w:r>
      <w:r>
        <w:rPr>
          <w:rFonts w:ascii="仿宋_GB2312" w:hAnsi="宋体" w:eastAsia="仿宋_GB2312"/>
          <w:b/>
          <w:bCs/>
          <w:sz w:val="24"/>
        </w:rPr>
        <w:t>26</w:t>
      </w:r>
      <w:r>
        <w:rPr>
          <w:rFonts w:hint="eastAsia" w:ascii="仿宋_GB2312" w:hAnsi="宋体" w:eastAsia="仿宋_GB2312"/>
          <w:b/>
          <w:bCs/>
          <w:sz w:val="24"/>
        </w:rPr>
        <w:t>项）：</w:t>
      </w:r>
    </w:p>
    <w:p>
      <w:pPr>
        <w:adjustRightInd w:val="0"/>
        <w:snapToGrid w:val="0"/>
        <w:spacing w:line="400" w:lineRule="exact"/>
        <w:jc w:val="both"/>
        <w:rPr>
          <w:rFonts w:hint="eastAsia" w:ascii="仿宋_GB2312" w:hAnsi="宋体" w:eastAsia="仿宋_GB2312"/>
          <w:b/>
          <w:sz w:val="28"/>
          <w:szCs w:val="28"/>
        </w:rPr>
      </w:pPr>
    </w:p>
    <w:p>
      <w:pPr>
        <w:adjustRightInd w:val="0"/>
        <w:snapToGrid w:val="0"/>
        <w:spacing w:line="400" w:lineRule="exact"/>
        <w:jc w:val="center"/>
        <w:rPr>
          <w:rFonts w:ascii="仿宋_GB2312" w:hAnsi="宋体" w:eastAsia="仿宋_GB2312"/>
          <w:sz w:val="28"/>
          <w:szCs w:val="28"/>
        </w:rPr>
      </w:pPr>
      <w:r>
        <w:rPr>
          <w:rFonts w:hint="eastAsia" w:ascii="仿宋_GB2312" w:hAnsi="宋体" w:eastAsia="仿宋_GB2312"/>
          <w:b/>
          <w:sz w:val="28"/>
          <w:szCs w:val="28"/>
        </w:rPr>
        <w:t>常州大学</w:t>
      </w:r>
      <w:r>
        <w:rPr>
          <w:rFonts w:hint="eastAsia" w:ascii="仿宋_GB2312" w:hAnsi="宋体" w:eastAsia="仿宋_GB2312"/>
          <w:b/>
          <w:sz w:val="28"/>
          <w:szCs w:val="28"/>
          <w:lang w:val="en-US" w:eastAsia="zh-CN"/>
        </w:rPr>
        <w:t>商学院 刘国钧管理学院</w:t>
      </w:r>
      <w:r>
        <w:rPr>
          <w:rFonts w:hint="eastAsia" w:ascii="仿宋_GB2312" w:hAnsi="宋体" w:eastAsia="仿宋_GB2312"/>
          <w:b/>
          <w:sz w:val="28"/>
          <w:szCs w:val="28"/>
        </w:rPr>
        <w:t>研究生德育素质测评表</w:t>
      </w:r>
    </w:p>
    <w:p>
      <w:pPr>
        <w:rPr>
          <w:b/>
          <w:bCs/>
        </w:rPr>
      </w:pPr>
    </w:p>
    <w:tbl>
      <w:tblPr>
        <w:tblStyle w:val="7"/>
        <w:tblpPr w:leftFromText="180" w:rightFromText="180" w:vertAnchor="page" w:horzAnchor="page" w:tblpX="1191" w:tblpY="3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4245"/>
        <w:gridCol w:w="4253"/>
        <w:gridCol w:w="32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95" w:type="dxa"/>
            <w:vMerge w:val="restart"/>
            <w:tcBorders>
              <w:top w:val="single" w:color="auto" w:sz="4" w:space="0"/>
              <w:left w:val="single" w:color="auto" w:sz="4" w:space="0"/>
              <w:tl2br w:val="single" w:color="auto" w:sz="4" w:space="0"/>
            </w:tcBorders>
          </w:tcPr>
          <w:p>
            <w:pPr>
              <w:adjustRightInd w:val="0"/>
              <w:snapToGrid w:val="0"/>
              <w:jc w:val="center"/>
              <w:rPr>
                <w:rFonts w:ascii="仿宋_GB2312" w:hAnsi="仿宋" w:eastAsia="仿宋_GB2312"/>
                <w:sz w:val="24"/>
              </w:rPr>
            </w:pPr>
            <w:r>
              <w:rPr>
                <w:rFonts w:hint="eastAsia" w:ascii="仿宋_GB2312" w:hAnsi="仿宋" w:eastAsia="仿宋_GB2312"/>
                <w:sz w:val="24"/>
                <w:lang w:val="en-US" w:eastAsia="zh-CN"/>
              </w:rPr>
              <w:t xml:space="preserve"> </w:t>
            </w:r>
            <w:r>
              <w:rPr>
                <w:rFonts w:hint="eastAsia" w:ascii="仿宋_GB2312" w:hAnsi="仿宋" w:eastAsia="仿宋_GB2312"/>
                <w:sz w:val="24"/>
              </w:rPr>
              <w:t>表现</w:t>
            </w:r>
          </w:p>
          <w:p>
            <w:pPr>
              <w:adjustRightInd w:val="0"/>
              <w:snapToGrid w:val="0"/>
              <w:rPr>
                <w:rFonts w:ascii="仿宋" w:hAnsi="仿宋" w:eastAsia="仿宋"/>
                <w:sz w:val="24"/>
              </w:rPr>
            </w:pPr>
            <w:r>
              <w:rPr>
                <w:rFonts w:hint="eastAsia" w:ascii="仿宋_GB2312" w:hAnsi="仿宋" w:eastAsia="仿宋_GB2312"/>
                <w:sz w:val="24"/>
              </w:rPr>
              <w:t>项目</w:t>
            </w:r>
          </w:p>
        </w:tc>
        <w:tc>
          <w:tcPr>
            <w:tcW w:w="4245" w:type="dxa"/>
            <w:tcBorders>
              <w:top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A（21-25分）</w:t>
            </w:r>
          </w:p>
        </w:tc>
        <w:tc>
          <w:tcPr>
            <w:tcW w:w="4253" w:type="dxa"/>
            <w:tcBorders>
              <w:top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B（16-20分）</w:t>
            </w:r>
          </w:p>
        </w:tc>
        <w:tc>
          <w:tcPr>
            <w:tcW w:w="3260" w:type="dxa"/>
            <w:tcBorders>
              <w:top w:val="single" w:color="auto" w:sz="4" w:space="0"/>
              <w:right w:val="single" w:color="auto" w:sz="4" w:space="0"/>
            </w:tcBorders>
            <w:vAlign w:val="center"/>
          </w:tcPr>
          <w:p>
            <w:pPr>
              <w:adjustRightInd w:val="0"/>
              <w:snapToGrid w:val="0"/>
              <w:jc w:val="center"/>
              <w:rPr>
                <w:rFonts w:ascii="仿宋_GB2312" w:hAnsi="仿宋" w:eastAsia="仿宋_GB2312"/>
                <w:szCs w:val="21"/>
              </w:rPr>
            </w:pPr>
            <w:r>
              <w:rPr>
                <w:rFonts w:hint="eastAsia" w:ascii="仿宋_GB2312" w:hAnsi="仿宋" w:eastAsia="仿宋_GB2312"/>
                <w:szCs w:val="21"/>
              </w:rPr>
              <w:t>C（0-15分）</w:t>
            </w:r>
          </w:p>
        </w:tc>
        <w:tc>
          <w:tcPr>
            <w:tcW w:w="1701" w:type="dxa"/>
            <w:vMerge w:val="restart"/>
            <w:tcBorders>
              <w:top w:val="single" w:color="auto" w:sz="4" w:space="0"/>
              <w:left w:val="single" w:color="auto" w:sz="4" w:space="0"/>
            </w:tcBorders>
            <w:shd w:val="clear" w:color="auto" w:fill="auto"/>
            <w:vAlign w:val="center"/>
          </w:tcPr>
          <w:p>
            <w:pPr>
              <w:adjustRightInd w:val="0"/>
              <w:snapToGrid w:val="0"/>
              <w:ind w:firstLine="420" w:firstLineChars="200"/>
              <w:jc w:val="left"/>
              <w:rPr>
                <w:rFonts w:ascii="仿宋_GB2312" w:hAnsi="仿宋" w:eastAsia="仿宋_GB2312"/>
                <w:szCs w:val="21"/>
              </w:rPr>
            </w:pPr>
            <w:r>
              <w:rPr>
                <w:rFonts w:hint="eastAsia" w:ascii="仿宋_GB2312" w:hAnsi="仿宋" w:eastAsia="仿宋_GB2312"/>
                <w:szCs w:val="21"/>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95" w:type="dxa"/>
            <w:vMerge w:val="continue"/>
            <w:tcBorders>
              <w:left w:val="single" w:color="auto" w:sz="4" w:space="0"/>
            </w:tcBorders>
            <w:textDirection w:val="tbRlV"/>
            <w:vAlign w:val="bottom"/>
          </w:tcPr>
          <w:p>
            <w:pPr>
              <w:adjustRightInd w:val="0"/>
              <w:snapToGrid w:val="0"/>
              <w:ind w:left="113" w:right="113"/>
              <w:jc w:val="center"/>
              <w:rPr>
                <w:rFonts w:ascii="仿宋" w:hAnsi="仿宋" w:eastAsia="仿宋"/>
                <w:sz w:val="24"/>
              </w:rPr>
            </w:pPr>
          </w:p>
        </w:tc>
        <w:tc>
          <w:tcPr>
            <w:tcW w:w="4245" w:type="dxa"/>
          </w:tcPr>
          <w:p>
            <w:pPr>
              <w:adjustRightInd w:val="0"/>
              <w:snapToGrid w:val="0"/>
              <w:jc w:val="center"/>
              <w:rPr>
                <w:rFonts w:ascii="仿宋_GB2312" w:hAnsi="仿宋" w:eastAsia="仿宋_GB2312"/>
                <w:szCs w:val="21"/>
              </w:rPr>
            </w:pPr>
            <w:r>
              <w:rPr>
                <w:rFonts w:hint="eastAsia" w:ascii="仿宋_GB2312" w:hAnsi="仿宋" w:eastAsia="仿宋_GB2312"/>
                <w:szCs w:val="21"/>
              </w:rPr>
              <w:t>表  现</w:t>
            </w:r>
          </w:p>
        </w:tc>
        <w:tc>
          <w:tcPr>
            <w:tcW w:w="4253" w:type="dxa"/>
          </w:tcPr>
          <w:p>
            <w:pPr>
              <w:adjustRightInd w:val="0"/>
              <w:snapToGrid w:val="0"/>
              <w:jc w:val="center"/>
              <w:rPr>
                <w:rFonts w:ascii="仿宋_GB2312" w:hAnsi="仿宋" w:eastAsia="仿宋_GB2312"/>
                <w:szCs w:val="21"/>
              </w:rPr>
            </w:pPr>
            <w:r>
              <w:rPr>
                <w:rFonts w:hint="eastAsia" w:ascii="仿宋_GB2312" w:hAnsi="仿宋" w:eastAsia="仿宋_GB2312"/>
                <w:szCs w:val="21"/>
              </w:rPr>
              <w:t>表  现</w:t>
            </w:r>
          </w:p>
        </w:tc>
        <w:tc>
          <w:tcPr>
            <w:tcW w:w="3260" w:type="dxa"/>
            <w:tcBorders>
              <w:right w:val="single" w:color="auto" w:sz="4" w:space="0"/>
            </w:tcBorders>
          </w:tcPr>
          <w:p>
            <w:pPr>
              <w:adjustRightInd w:val="0"/>
              <w:snapToGrid w:val="0"/>
              <w:jc w:val="center"/>
              <w:rPr>
                <w:rFonts w:ascii="仿宋_GB2312" w:hAnsi="仿宋" w:eastAsia="仿宋_GB2312"/>
                <w:szCs w:val="21"/>
              </w:rPr>
            </w:pPr>
            <w:r>
              <w:rPr>
                <w:rFonts w:hint="eastAsia" w:ascii="仿宋_GB2312" w:hAnsi="仿宋" w:eastAsia="仿宋_GB2312"/>
                <w:szCs w:val="21"/>
              </w:rPr>
              <w:t>表  现</w:t>
            </w:r>
          </w:p>
        </w:tc>
        <w:tc>
          <w:tcPr>
            <w:tcW w:w="1701" w:type="dxa"/>
            <w:vMerge w:val="continue"/>
            <w:tcBorders>
              <w:left w:val="single" w:color="auto" w:sz="4" w:space="0"/>
            </w:tcBorders>
            <w:shd w:val="clear" w:color="auto" w:fill="auto"/>
          </w:tcPr>
          <w:p>
            <w:pPr>
              <w:widowControl/>
              <w:adjustRightInd w:val="0"/>
              <w:snapToGrid w:val="0"/>
              <w:jc w:val="lef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995" w:type="dxa"/>
            <w:tcBorders>
              <w:left w:val="single" w:color="auto" w:sz="4" w:space="0"/>
            </w:tcBorders>
            <w:textDirection w:val="tbRlV"/>
            <w:vAlign w:val="center"/>
          </w:tcPr>
          <w:p>
            <w:pPr>
              <w:adjustRightInd w:val="0"/>
              <w:snapToGrid w:val="0"/>
              <w:ind w:left="113" w:right="113"/>
              <w:jc w:val="center"/>
              <w:rPr>
                <w:rFonts w:ascii="仿宋_GB2312" w:hAnsi="仿宋" w:eastAsia="仿宋_GB2312"/>
                <w:sz w:val="24"/>
              </w:rPr>
            </w:pPr>
            <w:r>
              <w:rPr>
                <w:rFonts w:hint="eastAsia" w:ascii="仿宋_GB2312" w:hAnsi="仿宋" w:eastAsia="仿宋_GB2312"/>
                <w:sz w:val="24"/>
              </w:rPr>
              <w:t>政治表现</w:t>
            </w:r>
          </w:p>
        </w:tc>
        <w:tc>
          <w:tcPr>
            <w:tcW w:w="4245" w:type="dxa"/>
            <w:vAlign w:val="center"/>
          </w:tcPr>
          <w:p>
            <w:pPr>
              <w:adjustRightInd w:val="0"/>
              <w:snapToGrid w:val="0"/>
              <w:rPr>
                <w:rFonts w:ascii="仿宋_GB2312" w:hAnsi="仿宋" w:eastAsia="仿宋_GB2312"/>
                <w:szCs w:val="21"/>
              </w:rPr>
            </w:pPr>
            <w:r>
              <w:rPr>
                <w:rFonts w:hint="eastAsia" w:ascii="仿宋_GB2312" w:hAnsi="仿宋" w:eastAsia="仿宋_GB2312"/>
                <w:szCs w:val="21"/>
              </w:rPr>
              <w:t>坚持正确的政治立场；政治上进心强，能主动向党组织靠拢；服从组织安排；积极参加各项有关政治活动；关心时事政治，积极参加政治理论学习。</w:t>
            </w:r>
          </w:p>
        </w:tc>
        <w:tc>
          <w:tcPr>
            <w:tcW w:w="4253" w:type="dxa"/>
            <w:vAlign w:val="center"/>
          </w:tcPr>
          <w:p>
            <w:pPr>
              <w:adjustRightInd w:val="0"/>
              <w:snapToGrid w:val="0"/>
              <w:rPr>
                <w:rFonts w:ascii="仿宋_GB2312" w:hAnsi="仿宋" w:eastAsia="仿宋_GB2312"/>
                <w:szCs w:val="21"/>
              </w:rPr>
            </w:pPr>
            <w:r>
              <w:rPr>
                <w:rFonts w:hint="eastAsia" w:ascii="仿宋_GB2312" w:hAnsi="仿宋" w:eastAsia="仿宋_GB2312"/>
                <w:szCs w:val="21"/>
              </w:rPr>
              <w:t>政治立场正确；有较强的政治上进心；靠拢党组织；认真参加学校组织的各项政治活动；较关心时事政治；能参加各项理论学习；态度良好。</w:t>
            </w:r>
          </w:p>
        </w:tc>
        <w:tc>
          <w:tcPr>
            <w:tcW w:w="3260" w:type="dxa"/>
            <w:vAlign w:val="center"/>
          </w:tcPr>
          <w:p>
            <w:pPr>
              <w:widowControl/>
              <w:adjustRightInd w:val="0"/>
              <w:snapToGrid w:val="0"/>
              <w:jc w:val="left"/>
              <w:rPr>
                <w:rFonts w:ascii="仿宋_GB2312" w:hAnsi="仿宋" w:eastAsia="仿宋_GB2312"/>
                <w:szCs w:val="21"/>
              </w:rPr>
            </w:pPr>
            <w:r>
              <w:rPr>
                <w:rFonts w:hint="eastAsia" w:ascii="仿宋_GB2312" w:hAnsi="仿宋" w:eastAsia="仿宋_GB2312"/>
                <w:szCs w:val="21"/>
              </w:rPr>
              <w:t>政治上进心不强；有时不参加学校组织的政治活动；不重视政治理论学习；对时事政治关心不够。</w:t>
            </w:r>
          </w:p>
        </w:tc>
        <w:tc>
          <w:tcPr>
            <w:tcW w:w="1701" w:type="dxa"/>
            <w:shd w:val="clear" w:color="auto" w:fill="auto"/>
          </w:tcPr>
          <w:p>
            <w:pPr>
              <w:widowControl/>
              <w:adjustRightInd w:val="0"/>
              <w:snapToGrid w:val="0"/>
              <w:jc w:val="lef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trPr>
        <w:tc>
          <w:tcPr>
            <w:tcW w:w="995" w:type="dxa"/>
            <w:tcBorders>
              <w:left w:val="single" w:color="auto" w:sz="4" w:space="0"/>
            </w:tcBorders>
            <w:textDirection w:val="tbRlV"/>
            <w:vAlign w:val="center"/>
          </w:tcPr>
          <w:p>
            <w:pPr>
              <w:adjustRightInd w:val="0"/>
              <w:snapToGrid w:val="0"/>
              <w:ind w:left="113" w:right="113"/>
              <w:jc w:val="center"/>
              <w:rPr>
                <w:rFonts w:ascii="仿宋_GB2312" w:hAnsi="仿宋" w:eastAsia="仿宋_GB2312"/>
                <w:sz w:val="24"/>
              </w:rPr>
            </w:pPr>
            <w:r>
              <w:rPr>
                <w:rFonts w:hint="eastAsia" w:ascii="仿宋_GB2312" w:hAnsi="仿宋" w:eastAsia="仿宋_GB2312"/>
                <w:sz w:val="24"/>
              </w:rPr>
              <w:t>团结协作</w:t>
            </w:r>
          </w:p>
        </w:tc>
        <w:tc>
          <w:tcPr>
            <w:tcW w:w="4245" w:type="dxa"/>
            <w:vAlign w:val="center"/>
          </w:tcPr>
          <w:p>
            <w:pPr>
              <w:adjustRightInd w:val="0"/>
              <w:snapToGrid w:val="0"/>
              <w:rPr>
                <w:rFonts w:ascii="仿宋_GB2312" w:hAnsi="仿宋" w:eastAsia="仿宋_GB2312"/>
                <w:szCs w:val="21"/>
              </w:rPr>
            </w:pPr>
            <w:r>
              <w:rPr>
                <w:rFonts w:hint="eastAsia" w:ascii="仿宋_GB2312" w:hAnsi="仿宋" w:eastAsia="仿宋_GB2312"/>
                <w:szCs w:val="21"/>
              </w:rPr>
              <w:t>有很强的集体荣誉感；主动积极地参加各项集体活动；个人利益服从集体利益；有很好的集体协作精神；团结并热心帮助同学。</w:t>
            </w:r>
          </w:p>
        </w:tc>
        <w:tc>
          <w:tcPr>
            <w:tcW w:w="4253" w:type="dxa"/>
            <w:vAlign w:val="center"/>
          </w:tcPr>
          <w:p>
            <w:pPr>
              <w:adjustRightInd w:val="0"/>
              <w:snapToGrid w:val="0"/>
              <w:rPr>
                <w:rFonts w:ascii="仿宋_GB2312" w:hAnsi="仿宋" w:eastAsia="仿宋_GB2312"/>
                <w:szCs w:val="21"/>
              </w:rPr>
            </w:pPr>
            <w:r>
              <w:rPr>
                <w:rFonts w:hint="eastAsia" w:ascii="仿宋_GB2312" w:hAnsi="仿宋" w:eastAsia="仿宋_GB2312"/>
                <w:szCs w:val="21"/>
              </w:rPr>
              <w:t>集体荣誉感较强；能按要求认真参加各项集体活动；不做有损集体的事；有一定的协作精神，能为同学服务。</w:t>
            </w:r>
          </w:p>
        </w:tc>
        <w:tc>
          <w:tcPr>
            <w:tcW w:w="3260" w:type="dxa"/>
            <w:vAlign w:val="center"/>
          </w:tcPr>
          <w:p>
            <w:pPr>
              <w:widowControl/>
              <w:adjustRightInd w:val="0"/>
              <w:snapToGrid w:val="0"/>
              <w:jc w:val="left"/>
              <w:rPr>
                <w:rFonts w:ascii="仿宋_GB2312" w:hAnsi="仿宋" w:eastAsia="仿宋_GB2312"/>
                <w:szCs w:val="21"/>
              </w:rPr>
            </w:pPr>
            <w:r>
              <w:rPr>
                <w:rFonts w:hint="eastAsia" w:ascii="仿宋_GB2312" w:hAnsi="仿宋" w:eastAsia="仿宋_GB2312"/>
                <w:szCs w:val="21"/>
              </w:rPr>
              <w:t>集体荣誉感、集体观念不强；不认真参加或有时缺席集体活动；缺乏协作精神。</w:t>
            </w:r>
          </w:p>
        </w:tc>
        <w:tc>
          <w:tcPr>
            <w:tcW w:w="1701" w:type="dxa"/>
            <w:shd w:val="clear" w:color="auto" w:fill="auto"/>
          </w:tcPr>
          <w:p>
            <w:pPr>
              <w:widowControl/>
              <w:adjustRightInd w:val="0"/>
              <w:snapToGrid w:val="0"/>
              <w:jc w:val="lef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trPr>
        <w:tc>
          <w:tcPr>
            <w:tcW w:w="995" w:type="dxa"/>
            <w:tcBorders>
              <w:left w:val="single" w:color="auto" w:sz="4" w:space="0"/>
            </w:tcBorders>
            <w:textDirection w:val="tbRlV"/>
            <w:vAlign w:val="center"/>
          </w:tcPr>
          <w:p>
            <w:pPr>
              <w:adjustRightInd w:val="0"/>
              <w:snapToGrid w:val="0"/>
              <w:ind w:left="113" w:right="113"/>
              <w:jc w:val="center"/>
              <w:rPr>
                <w:rFonts w:ascii="仿宋_GB2312" w:hAnsi="仿宋" w:eastAsia="仿宋_GB2312"/>
                <w:sz w:val="24"/>
              </w:rPr>
            </w:pPr>
            <w:r>
              <w:rPr>
                <w:rFonts w:hint="eastAsia" w:ascii="仿宋_GB2312" w:hAnsi="仿宋" w:eastAsia="仿宋_GB2312"/>
                <w:sz w:val="24"/>
              </w:rPr>
              <w:t>遵纪守法</w:t>
            </w:r>
          </w:p>
        </w:tc>
        <w:tc>
          <w:tcPr>
            <w:tcW w:w="4245" w:type="dxa"/>
            <w:vAlign w:val="center"/>
          </w:tcPr>
          <w:p>
            <w:pPr>
              <w:adjustRightInd w:val="0"/>
              <w:snapToGrid w:val="0"/>
              <w:rPr>
                <w:rFonts w:ascii="仿宋_GB2312" w:hAnsi="仿宋" w:eastAsia="仿宋_GB2312"/>
                <w:szCs w:val="21"/>
              </w:rPr>
            </w:pPr>
            <w:r>
              <w:rPr>
                <w:rFonts w:hint="eastAsia" w:ascii="仿宋_GB2312" w:hAnsi="仿宋" w:eastAsia="仿宋_GB2312"/>
                <w:szCs w:val="21"/>
              </w:rPr>
              <w:t>严格要求自己；自觉学习和遵守法律法规与学校的各项规章制度，主动协助管理人员做好管理工作，起到模范带头作用；敢于进行批评和自我批评；勇于同不良行为作斗争。</w:t>
            </w:r>
          </w:p>
        </w:tc>
        <w:tc>
          <w:tcPr>
            <w:tcW w:w="4253" w:type="dxa"/>
            <w:vAlign w:val="center"/>
          </w:tcPr>
          <w:p>
            <w:pPr>
              <w:adjustRightInd w:val="0"/>
              <w:snapToGrid w:val="0"/>
              <w:rPr>
                <w:rFonts w:ascii="仿宋_GB2312" w:hAnsi="仿宋" w:eastAsia="仿宋_GB2312"/>
                <w:szCs w:val="21"/>
              </w:rPr>
            </w:pPr>
            <w:r>
              <w:rPr>
                <w:rFonts w:hint="eastAsia" w:ascii="仿宋_GB2312" w:hAnsi="仿宋" w:eastAsia="仿宋_GB2312"/>
                <w:szCs w:val="21"/>
              </w:rPr>
              <w:t>能认真学习和遵守各项法律法规与学校的各项规章制度；接受各级管理人员的管理；能进行批评和自我批评。</w:t>
            </w:r>
          </w:p>
        </w:tc>
        <w:tc>
          <w:tcPr>
            <w:tcW w:w="3260" w:type="dxa"/>
            <w:vAlign w:val="center"/>
          </w:tcPr>
          <w:p>
            <w:pPr>
              <w:widowControl/>
              <w:adjustRightInd w:val="0"/>
              <w:snapToGrid w:val="0"/>
              <w:jc w:val="left"/>
              <w:rPr>
                <w:rFonts w:ascii="仿宋_GB2312" w:hAnsi="仿宋" w:eastAsia="仿宋_GB2312"/>
                <w:szCs w:val="21"/>
              </w:rPr>
            </w:pPr>
            <w:r>
              <w:rPr>
                <w:rFonts w:hint="eastAsia" w:ascii="仿宋_GB2312" w:hAnsi="仿宋" w:eastAsia="仿宋_GB2312"/>
                <w:szCs w:val="21"/>
              </w:rPr>
              <w:t>对相关法律法规和学校的规章制度了解不够；偶有违反规章制度的行为和不服从管理人员管理的现象发生。</w:t>
            </w:r>
          </w:p>
        </w:tc>
        <w:tc>
          <w:tcPr>
            <w:tcW w:w="1701" w:type="dxa"/>
            <w:shd w:val="clear" w:color="auto" w:fill="auto"/>
          </w:tcPr>
          <w:p>
            <w:pPr>
              <w:widowControl/>
              <w:adjustRightInd w:val="0"/>
              <w:snapToGrid w:val="0"/>
              <w:jc w:val="lef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995" w:type="dxa"/>
            <w:tcBorders>
              <w:left w:val="single" w:color="auto" w:sz="4" w:space="0"/>
              <w:bottom w:val="single" w:color="auto" w:sz="4" w:space="0"/>
            </w:tcBorders>
            <w:textDirection w:val="tbRlV"/>
            <w:vAlign w:val="center"/>
          </w:tcPr>
          <w:p>
            <w:pPr>
              <w:adjustRightInd w:val="0"/>
              <w:snapToGrid w:val="0"/>
              <w:ind w:left="113" w:right="113"/>
              <w:jc w:val="center"/>
              <w:rPr>
                <w:rFonts w:ascii="仿宋_GB2312" w:hAnsi="仿宋" w:eastAsia="仿宋_GB2312"/>
                <w:sz w:val="24"/>
              </w:rPr>
            </w:pPr>
            <w:r>
              <w:rPr>
                <w:rFonts w:hint="eastAsia" w:ascii="仿宋_GB2312" w:hAnsi="仿宋" w:eastAsia="仿宋_GB2312"/>
                <w:sz w:val="24"/>
              </w:rPr>
              <w:t>道德修养</w:t>
            </w:r>
          </w:p>
        </w:tc>
        <w:tc>
          <w:tcPr>
            <w:tcW w:w="4245" w:type="dxa"/>
            <w:tcBorders>
              <w:bottom w:val="single" w:color="auto" w:sz="4" w:space="0"/>
            </w:tcBorders>
            <w:vAlign w:val="center"/>
          </w:tcPr>
          <w:p>
            <w:pPr>
              <w:adjustRightInd w:val="0"/>
              <w:snapToGrid w:val="0"/>
              <w:rPr>
                <w:rFonts w:ascii="仿宋_GB2312" w:hAnsi="仿宋" w:eastAsia="仿宋_GB2312"/>
                <w:szCs w:val="21"/>
              </w:rPr>
            </w:pPr>
            <w:r>
              <w:rPr>
                <w:rFonts w:hint="eastAsia" w:ascii="仿宋_GB2312" w:hAnsi="仿宋" w:eastAsia="仿宋_GB2312"/>
                <w:szCs w:val="21"/>
              </w:rPr>
              <w:t>注重自身道德修养的提高；遵守并积极倡导社会公德；工作责任心强，待人诚恳；能为创建精神文明做贡献；主动讲文明、讲礼貌，严于律己。</w:t>
            </w:r>
          </w:p>
        </w:tc>
        <w:tc>
          <w:tcPr>
            <w:tcW w:w="4253" w:type="dxa"/>
            <w:tcBorders>
              <w:bottom w:val="single" w:color="auto" w:sz="4" w:space="0"/>
            </w:tcBorders>
            <w:vAlign w:val="center"/>
          </w:tcPr>
          <w:p>
            <w:pPr>
              <w:adjustRightInd w:val="0"/>
              <w:snapToGrid w:val="0"/>
              <w:rPr>
                <w:rFonts w:ascii="仿宋_GB2312" w:hAnsi="仿宋" w:eastAsia="仿宋_GB2312"/>
                <w:szCs w:val="21"/>
              </w:rPr>
            </w:pPr>
            <w:r>
              <w:rPr>
                <w:rFonts w:hint="eastAsia" w:ascii="仿宋_GB2312" w:hAnsi="仿宋" w:eastAsia="仿宋_GB2312"/>
                <w:szCs w:val="21"/>
              </w:rPr>
              <w:t>能不断加强和提高自己的道德修养；遵守社会公德；讲文明、讲礼貌，爱护公物，遵守社会公共秩序。</w:t>
            </w:r>
          </w:p>
        </w:tc>
        <w:tc>
          <w:tcPr>
            <w:tcW w:w="3260" w:type="dxa"/>
            <w:tcBorders>
              <w:bottom w:val="single" w:color="auto" w:sz="4" w:space="0"/>
            </w:tcBorders>
            <w:vAlign w:val="center"/>
          </w:tcPr>
          <w:p>
            <w:pPr>
              <w:widowControl/>
              <w:adjustRightInd w:val="0"/>
              <w:snapToGrid w:val="0"/>
              <w:jc w:val="left"/>
              <w:rPr>
                <w:rFonts w:ascii="仿宋_GB2312" w:hAnsi="仿宋" w:eastAsia="仿宋_GB2312"/>
                <w:szCs w:val="21"/>
              </w:rPr>
            </w:pPr>
            <w:r>
              <w:rPr>
                <w:rFonts w:hint="eastAsia" w:ascii="仿宋_GB2312" w:hAnsi="仿宋" w:eastAsia="仿宋_GB2312"/>
                <w:szCs w:val="21"/>
              </w:rPr>
              <w:t>对个人的道德品质修养不够重视；社会公德意识不够强；与同学关系不够融洽，文明礼貌方面做的比较欠缺。</w:t>
            </w:r>
          </w:p>
        </w:tc>
        <w:tc>
          <w:tcPr>
            <w:tcW w:w="1701" w:type="dxa"/>
            <w:tcBorders>
              <w:bottom w:val="single" w:color="auto" w:sz="4" w:space="0"/>
            </w:tcBorders>
            <w:shd w:val="clear" w:color="auto" w:fill="auto"/>
          </w:tcPr>
          <w:p>
            <w:pPr>
              <w:widowControl/>
              <w:adjustRightInd w:val="0"/>
              <w:snapToGrid w:val="0"/>
              <w:jc w:val="left"/>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240" w:type="dxa"/>
            <w:gridSpan w:val="2"/>
            <w:tcBorders>
              <w:top w:val="single" w:color="auto" w:sz="4" w:space="0"/>
              <w:left w:val="single" w:color="auto" w:sz="4" w:space="0"/>
            </w:tcBorders>
            <w:vAlign w:val="center"/>
          </w:tcPr>
          <w:p>
            <w:pPr>
              <w:adjustRightInd w:val="0"/>
              <w:snapToGrid w:val="0"/>
              <w:ind w:firstLine="735" w:firstLineChars="350"/>
              <w:rPr>
                <w:rFonts w:ascii="仿宋_GB2312" w:hAnsi="仿宋" w:eastAsia="仿宋_GB2312"/>
                <w:szCs w:val="21"/>
              </w:rPr>
            </w:pPr>
            <w:r>
              <w:rPr>
                <w:rFonts w:hint="eastAsia" w:ascii="仿宋_GB2312" w:hAnsi="仿宋" w:eastAsia="仿宋_GB2312"/>
                <w:szCs w:val="21"/>
              </w:rPr>
              <w:t>总评分</w:t>
            </w:r>
          </w:p>
        </w:tc>
        <w:tc>
          <w:tcPr>
            <w:tcW w:w="9214" w:type="dxa"/>
            <w:gridSpan w:val="3"/>
            <w:tcBorders>
              <w:top w:val="single" w:color="auto" w:sz="4" w:space="0"/>
            </w:tcBorders>
          </w:tcPr>
          <w:p>
            <w:pPr>
              <w:adjustRightInd w:val="0"/>
              <w:snapToGrid w:val="0"/>
              <w:rPr>
                <w:rFonts w:ascii="仿宋_GB2312" w:hAnsi="仿宋" w:eastAsia="仿宋_GB2312"/>
                <w:szCs w:val="21"/>
              </w:rPr>
            </w:pPr>
          </w:p>
        </w:tc>
      </w:tr>
    </w:tbl>
    <w:p>
      <w:pPr>
        <w:adjustRightInd w:val="0"/>
        <w:snapToGrid w:val="0"/>
        <w:jc w:val="both"/>
        <w:rPr>
          <w:rFonts w:ascii="文鼎大标宋简" w:hAnsi="宋体" w:eastAsia="文鼎大标宋简"/>
          <w:b/>
          <w:sz w:val="30"/>
          <w:szCs w:val="30"/>
        </w:rPr>
      </w:pPr>
    </w:p>
    <w:sectPr>
      <w:headerReference r:id="rId3" w:type="default"/>
      <w:footerReference r:id="rId4" w:type="default"/>
      <w:footerReference r:id="rId5" w:type="even"/>
      <w:pgSz w:w="16838" w:h="11906" w:orient="landscape"/>
      <w:pgMar w:top="1134" w:right="1134" w:bottom="1134" w:left="1134" w:header="851" w:footer="1474"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- 7 -</w:t>
    </w:r>
    <w:r>
      <w:fldChar w:fldCharType="end"/>
    </w:r>
  </w:p>
  <w:p>
    <w:pPr>
      <w:pStyle w:val="4"/>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- 6 -</w:t>
    </w:r>
    <w:r>
      <w:fldChar w:fldCharType="end"/>
    </w:r>
  </w:p>
  <w:p>
    <w:pPr>
      <w:pStyle w:val="4"/>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F1892"/>
    <w:multiLevelType w:val="singleLevel"/>
    <w:tmpl w:val="04CF18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2YjY2MWI2OWRkOTZiOWI2Yzk5NDcwZGJjMjBkYTEifQ=="/>
  </w:docVars>
  <w:rsids>
    <w:rsidRoot w:val="00E03E23"/>
    <w:rsid w:val="00011920"/>
    <w:rsid w:val="00011B4F"/>
    <w:rsid w:val="00017C4C"/>
    <w:rsid w:val="000241F7"/>
    <w:rsid w:val="00030986"/>
    <w:rsid w:val="00043573"/>
    <w:rsid w:val="00045DED"/>
    <w:rsid w:val="00056200"/>
    <w:rsid w:val="00065115"/>
    <w:rsid w:val="00075344"/>
    <w:rsid w:val="00080D98"/>
    <w:rsid w:val="000B5428"/>
    <w:rsid w:val="000C09BF"/>
    <w:rsid w:val="000D3089"/>
    <w:rsid w:val="000F2896"/>
    <w:rsid w:val="001143B6"/>
    <w:rsid w:val="001418DD"/>
    <w:rsid w:val="00175EC9"/>
    <w:rsid w:val="00197B65"/>
    <w:rsid w:val="001C73DA"/>
    <w:rsid w:val="001E2AD8"/>
    <w:rsid w:val="0021743A"/>
    <w:rsid w:val="00252EAB"/>
    <w:rsid w:val="00257C00"/>
    <w:rsid w:val="00261CA0"/>
    <w:rsid w:val="00294268"/>
    <w:rsid w:val="002B1F2C"/>
    <w:rsid w:val="002B6EE6"/>
    <w:rsid w:val="002D5C0F"/>
    <w:rsid w:val="002D69F0"/>
    <w:rsid w:val="002F35A9"/>
    <w:rsid w:val="00315AB4"/>
    <w:rsid w:val="00323D8A"/>
    <w:rsid w:val="00340F26"/>
    <w:rsid w:val="00352072"/>
    <w:rsid w:val="00377817"/>
    <w:rsid w:val="00377EC4"/>
    <w:rsid w:val="00386FAC"/>
    <w:rsid w:val="003D6A68"/>
    <w:rsid w:val="003F5A44"/>
    <w:rsid w:val="004000A8"/>
    <w:rsid w:val="00407A91"/>
    <w:rsid w:val="00415039"/>
    <w:rsid w:val="00425B82"/>
    <w:rsid w:val="00443F9B"/>
    <w:rsid w:val="004514C2"/>
    <w:rsid w:val="004564E6"/>
    <w:rsid w:val="00463A0D"/>
    <w:rsid w:val="00486B30"/>
    <w:rsid w:val="004917A0"/>
    <w:rsid w:val="004B6222"/>
    <w:rsid w:val="004C3D14"/>
    <w:rsid w:val="004D587D"/>
    <w:rsid w:val="004E7B48"/>
    <w:rsid w:val="004E7F60"/>
    <w:rsid w:val="004F5341"/>
    <w:rsid w:val="004F79BE"/>
    <w:rsid w:val="005113BA"/>
    <w:rsid w:val="00520C6D"/>
    <w:rsid w:val="00525BE9"/>
    <w:rsid w:val="0055121D"/>
    <w:rsid w:val="0056249A"/>
    <w:rsid w:val="00566CEE"/>
    <w:rsid w:val="0057018C"/>
    <w:rsid w:val="00574FF4"/>
    <w:rsid w:val="005924FE"/>
    <w:rsid w:val="005A71F5"/>
    <w:rsid w:val="005C472B"/>
    <w:rsid w:val="005D7B1C"/>
    <w:rsid w:val="005E5342"/>
    <w:rsid w:val="005F4B04"/>
    <w:rsid w:val="00602EAF"/>
    <w:rsid w:val="0061553E"/>
    <w:rsid w:val="006203B1"/>
    <w:rsid w:val="00624774"/>
    <w:rsid w:val="00635FB4"/>
    <w:rsid w:val="00636046"/>
    <w:rsid w:val="00636DF7"/>
    <w:rsid w:val="0065629B"/>
    <w:rsid w:val="00657474"/>
    <w:rsid w:val="006637CB"/>
    <w:rsid w:val="00664550"/>
    <w:rsid w:val="006748AF"/>
    <w:rsid w:val="006754E9"/>
    <w:rsid w:val="0068203B"/>
    <w:rsid w:val="006923B2"/>
    <w:rsid w:val="00694FB1"/>
    <w:rsid w:val="0069515F"/>
    <w:rsid w:val="006A2C2E"/>
    <w:rsid w:val="006A5A23"/>
    <w:rsid w:val="006A6AA3"/>
    <w:rsid w:val="006B2385"/>
    <w:rsid w:val="006C1AF3"/>
    <w:rsid w:val="006D59CD"/>
    <w:rsid w:val="006D6F3B"/>
    <w:rsid w:val="00761511"/>
    <w:rsid w:val="00775B2B"/>
    <w:rsid w:val="00776896"/>
    <w:rsid w:val="007844D7"/>
    <w:rsid w:val="007A62BA"/>
    <w:rsid w:val="007A6700"/>
    <w:rsid w:val="007A6777"/>
    <w:rsid w:val="007A7DD9"/>
    <w:rsid w:val="007B0908"/>
    <w:rsid w:val="007C2841"/>
    <w:rsid w:val="007C2CDB"/>
    <w:rsid w:val="007D2238"/>
    <w:rsid w:val="00830632"/>
    <w:rsid w:val="00831511"/>
    <w:rsid w:val="008320C1"/>
    <w:rsid w:val="00844331"/>
    <w:rsid w:val="00882C8C"/>
    <w:rsid w:val="00885C93"/>
    <w:rsid w:val="0088756B"/>
    <w:rsid w:val="00894F89"/>
    <w:rsid w:val="00897FB4"/>
    <w:rsid w:val="008A66C3"/>
    <w:rsid w:val="008B4F21"/>
    <w:rsid w:val="008E0C4A"/>
    <w:rsid w:val="008F53BC"/>
    <w:rsid w:val="009332E7"/>
    <w:rsid w:val="00994180"/>
    <w:rsid w:val="009A4304"/>
    <w:rsid w:val="009A4914"/>
    <w:rsid w:val="009C73AB"/>
    <w:rsid w:val="00A00829"/>
    <w:rsid w:val="00A2098D"/>
    <w:rsid w:val="00A23205"/>
    <w:rsid w:val="00A41100"/>
    <w:rsid w:val="00A41A12"/>
    <w:rsid w:val="00A544F3"/>
    <w:rsid w:val="00A93D5B"/>
    <w:rsid w:val="00AF78B7"/>
    <w:rsid w:val="00B04FE4"/>
    <w:rsid w:val="00B12273"/>
    <w:rsid w:val="00B1693A"/>
    <w:rsid w:val="00B205BC"/>
    <w:rsid w:val="00B31F66"/>
    <w:rsid w:val="00B500B8"/>
    <w:rsid w:val="00B55CDC"/>
    <w:rsid w:val="00B56AB9"/>
    <w:rsid w:val="00B56EAB"/>
    <w:rsid w:val="00B9057E"/>
    <w:rsid w:val="00BB2149"/>
    <w:rsid w:val="00BB3A7A"/>
    <w:rsid w:val="00BB3AE2"/>
    <w:rsid w:val="00BC4489"/>
    <w:rsid w:val="00BC45AE"/>
    <w:rsid w:val="00BD6F1E"/>
    <w:rsid w:val="00BD7BE2"/>
    <w:rsid w:val="00BF1736"/>
    <w:rsid w:val="00C12C6A"/>
    <w:rsid w:val="00C147BD"/>
    <w:rsid w:val="00C34A59"/>
    <w:rsid w:val="00C455A3"/>
    <w:rsid w:val="00C55D8A"/>
    <w:rsid w:val="00C83C30"/>
    <w:rsid w:val="00C90DC5"/>
    <w:rsid w:val="00C964DE"/>
    <w:rsid w:val="00CB26C0"/>
    <w:rsid w:val="00CB793B"/>
    <w:rsid w:val="00CD35CD"/>
    <w:rsid w:val="00CD40EC"/>
    <w:rsid w:val="00CD4CD1"/>
    <w:rsid w:val="00CE58DA"/>
    <w:rsid w:val="00CF7074"/>
    <w:rsid w:val="00D04E41"/>
    <w:rsid w:val="00D15027"/>
    <w:rsid w:val="00D26197"/>
    <w:rsid w:val="00D261A7"/>
    <w:rsid w:val="00D555BB"/>
    <w:rsid w:val="00D85240"/>
    <w:rsid w:val="00D90658"/>
    <w:rsid w:val="00D92317"/>
    <w:rsid w:val="00D9242A"/>
    <w:rsid w:val="00DA3D28"/>
    <w:rsid w:val="00DC3328"/>
    <w:rsid w:val="00DC39EA"/>
    <w:rsid w:val="00DC7F37"/>
    <w:rsid w:val="00DE4496"/>
    <w:rsid w:val="00DF5A93"/>
    <w:rsid w:val="00DF79BD"/>
    <w:rsid w:val="00E03E23"/>
    <w:rsid w:val="00E0750C"/>
    <w:rsid w:val="00E11C70"/>
    <w:rsid w:val="00E2523F"/>
    <w:rsid w:val="00E25820"/>
    <w:rsid w:val="00E26E35"/>
    <w:rsid w:val="00E61674"/>
    <w:rsid w:val="00E71239"/>
    <w:rsid w:val="00E73EED"/>
    <w:rsid w:val="00E74D05"/>
    <w:rsid w:val="00E80C37"/>
    <w:rsid w:val="00E8529C"/>
    <w:rsid w:val="00E86668"/>
    <w:rsid w:val="00E86AC2"/>
    <w:rsid w:val="00EA4E8A"/>
    <w:rsid w:val="00EA5295"/>
    <w:rsid w:val="00EF4041"/>
    <w:rsid w:val="00F04B4C"/>
    <w:rsid w:val="00F07708"/>
    <w:rsid w:val="00F36AE0"/>
    <w:rsid w:val="00F44BD2"/>
    <w:rsid w:val="00F55F3D"/>
    <w:rsid w:val="00F56B16"/>
    <w:rsid w:val="00F60E78"/>
    <w:rsid w:val="00F713E9"/>
    <w:rsid w:val="00F8539D"/>
    <w:rsid w:val="00F87C5B"/>
    <w:rsid w:val="00F906D3"/>
    <w:rsid w:val="00FC5E3B"/>
    <w:rsid w:val="00FE024F"/>
    <w:rsid w:val="00FF6DD3"/>
    <w:rsid w:val="01A75938"/>
    <w:rsid w:val="025008C3"/>
    <w:rsid w:val="034D1086"/>
    <w:rsid w:val="03546191"/>
    <w:rsid w:val="03E70E1D"/>
    <w:rsid w:val="04522D13"/>
    <w:rsid w:val="04722DCE"/>
    <w:rsid w:val="04A62A1C"/>
    <w:rsid w:val="04EB042F"/>
    <w:rsid w:val="050F6813"/>
    <w:rsid w:val="05595CE0"/>
    <w:rsid w:val="057311F3"/>
    <w:rsid w:val="059565ED"/>
    <w:rsid w:val="060F16E9"/>
    <w:rsid w:val="06896151"/>
    <w:rsid w:val="06A765D7"/>
    <w:rsid w:val="06F35CC1"/>
    <w:rsid w:val="08326375"/>
    <w:rsid w:val="0891753F"/>
    <w:rsid w:val="093A3733"/>
    <w:rsid w:val="0A2227F8"/>
    <w:rsid w:val="0A2E50D9"/>
    <w:rsid w:val="0B03578E"/>
    <w:rsid w:val="0C142961"/>
    <w:rsid w:val="0C8278CB"/>
    <w:rsid w:val="0CB663FC"/>
    <w:rsid w:val="0D1A5D55"/>
    <w:rsid w:val="0D58687D"/>
    <w:rsid w:val="0E9D7169"/>
    <w:rsid w:val="0FBC30F4"/>
    <w:rsid w:val="104A276B"/>
    <w:rsid w:val="1102547E"/>
    <w:rsid w:val="118648D9"/>
    <w:rsid w:val="11E44B84"/>
    <w:rsid w:val="132A2A6A"/>
    <w:rsid w:val="13A4281C"/>
    <w:rsid w:val="13C62793"/>
    <w:rsid w:val="141334FE"/>
    <w:rsid w:val="14397409"/>
    <w:rsid w:val="14F25809"/>
    <w:rsid w:val="15D867AD"/>
    <w:rsid w:val="164976AB"/>
    <w:rsid w:val="16973DD4"/>
    <w:rsid w:val="16D76A65"/>
    <w:rsid w:val="170A46C3"/>
    <w:rsid w:val="17863787"/>
    <w:rsid w:val="17E26493"/>
    <w:rsid w:val="182B5BDA"/>
    <w:rsid w:val="193A32DB"/>
    <w:rsid w:val="19C21C4E"/>
    <w:rsid w:val="19D13C3F"/>
    <w:rsid w:val="1A0933D9"/>
    <w:rsid w:val="1A587EBD"/>
    <w:rsid w:val="1AA650CC"/>
    <w:rsid w:val="1B46065D"/>
    <w:rsid w:val="1B7A20B5"/>
    <w:rsid w:val="1E012619"/>
    <w:rsid w:val="1E854FF8"/>
    <w:rsid w:val="1F7532BF"/>
    <w:rsid w:val="1F9000F9"/>
    <w:rsid w:val="2059673D"/>
    <w:rsid w:val="20E93F65"/>
    <w:rsid w:val="211840D7"/>
    <w:rsid w:val="215F7D83"/>
    <w:rsid w:val="217F6677"/>
    <w:rsid w:val="21AD6D40"/>
    <w:rsid w:val="22813D29"/>
    <w:rsid w:val="22A5210D"/>
    <w:rsid w:val="23241284"/>
    <w:rsid w:val="2350129B"/>
    <w:rsid w:val="24193875"/>
    <w:rsid w:val="24962CBD"/>
    <w:rsid w:val="24EA3E07"/>
    <w:rsid w:val="258424AE"/>
    <w:rsid w:val="25BC39F6"/>
    <w:rsid w:val="263A2B6C"/>
    <w:rsid w:val="264D464E"/>
    <w:rsid w:val="265A320F"/>
    <w:rsid w:val="271C2272"/>
    <w:rsid w:val="28810F26"/>
    <w:rsid w:val="28F47A37"/>
    <w:rsid w:val="2914163D"/>
    <w:rsid w:val="29A50C45"/>
    <w:rsid w:val="29AF73CD"/>
    <w:rsid w:val="29C42E79"/>
    <w:rsid w:val="2A832D34"/>
    <w:rsid w:val="2B167E42"/>
    <w:rsid w:val="2B367DA6"/>
    <w:rsid w:val="2B595843"/>
    <w:rsid w:val="2BB313F7"/>
    <w:rsid w:val="2C324995"/>
    <w:rsid w:val="2CF9552F"/>
    <w:rsid w:val="2DAA4A7C"/>
    <w:rsid w:val="2E980D78"/>
    <w:rsid w:val="2FA15A0A"/>
    <w:rsid w:val="304E7940"/>
    <w:rsid w:val="31F44517"/>
    <w:rsid w:val="32650F71"/>
    <w:rsid w:val="32E620B2"/>
    <w:rsid w:val="33052F39"/>
    <w:rsid w:val="33B977C6"/>
    <w:rsid w:val="33D26ADA"/>
    <w:rsid w:val="343C3F54"/>
    <w:rsid w:val="34621C0C"/>
    <w:rsid w:val="34967B08"/>
    <w:rsid w:val="34E645EB"/>
    <w:rsid w:val="357F234A"/>
    <w:rsid w:val="35BC70FA"/>
    <w:rsid w:val="36A4475E"/>
    <w:rsid w:val="3720190B"/>
    <w:rsid w:val="376A0C51"/>
    <w:rsid w:val="37D44BCF"/>
    <w:rsid w:val="3825542A"/>
    <w:rsid w:val="3891486E"/>
    <w:rsid w:val="389600D6"/>
    <w:rsid w:val="391D07F7"/>
    <w:rsid w:val="39316051"/>
    <w:rsid w:val="3A4C5D4F"/>
    <w:rsid w:val="3A4D2A17"/>
    <w:rsid w:val="3A647D60"/>
    <w:rsid w:val="3B351E28"/>
    <w:rsid w:val="3C81109D"/>
    <w:rsid w:val="3CAF79B9"/>
    <w:rsid w:val="3CBE5E4E"/>
    <w:rsid w:val="3D960B78"/>
    <w:rsid w:val="3EDC25BB"/>
    <w:rsid w:val="3EF73899"/>
    <w:rsid w:val="3EFB5137"/>
    <w:rsid w:val="3F634A8A"/>
    <w:rsid w:val="3F8213B4"/>
    <w:rsid w:val="3FAE03FB"/>
    <w:rsid w:val="43A23DD3"/>
    <w:rsid w:val="45012D7B"/>
    <w:rsid w:val="4565155C"/>
    <w:rsid w:val="456F4189"/>
    <w:rsid w:val="460E26FE"/>
    <w:rsid w:val="46446A0C"/>
    <w:rsid w:val="46EF2C8E"/>
    <w:rsid w:val="473C62ED"/>
    <w:rsid w:val="48117779"/>
    <w:rsid w:val="4BE66483"/>
    <w:rsid w:val="4C2C4B82"/>
    <w:rsid w:val="4CC33BB8"/>
    <w:rsid w:val="4CE506DB"/>
    <w:rsid w:val="4DF711BF"/>
    <w:rsid w:val="4EC07803"/>
    <w:rsid w:val="4EF1156D"/>
    <w:rsid w:val="4F0973FC"/>
    <w:rsid w:val="4F626B0C"/>
    <w:rsid w:val="4FF01CBE"/>
    <w:rsid w:val="51223AC0"/>
    <w:rsid w:val="5142769C"/>
    <w:rsid w:val="51FA74D0"/>
    <w:rsid w:val="525E7A5F"/>
    <w:rsid w:val="52862B12"/>
    <w:rsid w:val="52CF58F6"/>
    <w:rsid w:val="536D0D25"/>
    <w:rsid w:val="54596730"/>
    <w:rsid w:val="54745318"/>
    <w:rsid w:val="54A1404D"/>
    <w:rsid w:val="54C53DC5"/>
    <w:rsid w:val="54F75F49"/>
    <w:rsid w:val="55197C6D"/>
    <w:rsid w:val="55676C2B"/>
    <w:rsid w:val="57D63BF4"/>
    <w:rsid w:val="581035A9"/>
    <w:rsid w:val="58164938"/>
    <w:rsid w:val="586E6522"/>
    <w:rsid w:val="58801DB1"/>
    <w:rsid w:val="58B32187"/>
    <w:rsid w:val="58B71C77"/>
    <w:rsid w:val="58C779E0"/>
    <w:rsid w:val="59883613"/>
    <w:rsid w:val="59F06F3B"/>
    <w:rsid w:val="5A317807"/>
    <w:rsid w:val="5A677979"/>
    <w:rsid w:val="5A9B1124"/>
    <w:rsid w:val="5ADF3707"/>
    <w:rsid w:val="5BF9711D"/>
    <w:rsid w:val="5D641CA2"/>
    <w:rsid w:val="5E3653EC"/>
    <w:rsid w:val="5EB804F7"/>
    <w:rsid w:val="5EEC01A1"/>
    <w:rsid w:val="60A30D33"/>
    <w:rsid w:val="60BA67A8"/>
    <w:rsid w:val="61A11716"/>
    <w:rsid w:val="62D535D8"/>
    <w:rsid w:val="62DD677E"/>
    <w:rsid w:val="63100901"/>
    <w:rsid w:val="63375C4A"/>
    <w:rsid w:val="63473BF7"/>
    <w:rsid w:val="642A59F3"/>
    <w:rsid w:val="65314B5F"/>
    <w:rsid w:val="65870C23"/>
    <w:rsid w:val="659D2AED"/>
    <w:rsid w:val="65C6799D"/>
    <w:rsid w:val="65FA31A3"/>
    <w:rsid w:val="660404C6"/>
    <w:rsid w:val="661E3335"/>
    <w:rsid w:val="66E9667D"/>
    <w:rsid w:val="66F61BBC"/>
    <w:rsid w:val="67114A1B"/>
    <w:rsid w:val="694035C3"/>
    <w:rsid w:val="69C53AC8"/>
    <w:rsid w:val="6A22716C"/>
    <w:rsid w:val="6B5376D5"/>
    <w:rsid w:val="6B5D66AE"/>
    <w:rsid w:val="6CD3010C"/>
    <w:rsid w:val="6D1A237D"/>
    <w:rsid w:val="6DE309C1"/>
    <w:rsid w:val="6DFC05DE"/>
    <w:rsid w:val="6E645FA5"/>
    <w:rsid w:val="6EB9385B"/>
    <w:rsid w:val="6F2F06A3"/>
    <w:rsid w:val="70822713"/>
    <w:rsid w:val="710A55BE"/>
    <w:rsid w:val="722717C4"/>
    <w:rsid w:val="72CB63F7"/>
    <w:rsid w:val="73075151"/>
    <w:rsid w:val="73DE4104"/>
    <w:rsid w:val="74B35591"/>
    <w:rsid w:val="74BE7A92"/>
    <w:rsid w:val="756D1BE3"/>
    <w:rsid w:val="7601057E"/>
    <w:rsid w:val="760C2BC8"/>
    <w:rsid w:val="76B6393E"/>
    <w:rsid w:val="76BE1FCB"/>
    <w:rsid w:val="770F5D88"/>
    <w:rsid w:val="77404C6E"/>
    <w:rsid w:val="781B43CC"/>
    <w:rsid w:val="783562BD"/>
    <w:rsid w:val="789F599F"/>
    <w:rsid w:val="790740FD"/>
    <w:rsid w:val="79334EF2"/>
    <w:rsid w:val="7997722F"/>
    <w:rsid w:val="7AA65250"/>
    <w:rsid w:val="7B5063C1"/>
    <w:rsid w:val="7B6C0F35"/>
    <w:rsid w:val="7CA35EEB"/>
    <w:rsid w:val="7D32101D"/>
    <w:rsid w:val="7D537911"/>
    <w:rsid w:val="7DA43CC8"/>
    <w:rsid w:val="7DFD57A9"/>
    <w:rsid w:val="7EF1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footer"/>
    <w:basedOn w:val="1"/>
    <w:link w:val="13"/>
    <w:unhideWhenUsed/>
    <w:qFormat/>
    <w:uiPriority w:val="0"/>
    <w:pPr>
      <w:tabs>
        <w:tab w:val="center" w:pos="4153"/>
        <w:tab w:val="right" w:pos="8306"/>
      </w:tabs>
      <w:snapToGrid w:val="0"/>
      <w:jc w:val="left"/>
    </w:pPr>
    <w:rPr>
      <w:rFonts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eastAsiaTheme="minorEastAsia" w:cstheme="minorBidi"/>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emtidy-1"/>
    <w:basedOn w:val="9"/>
    <w:qFormat/>
    <w:uiPriority w:val="0"/>
  </w:style>
  <w:style w:type="character" w:customStyle="1" w:styleId="13">
    <w:name w:val="页脚 字符"/>
    <w:link w:val="4"/>
    <w:qFormat/>
    <w:uiPriority w:val="0"/>
    <w:rPr>
      <w:rFonts w:ascii="Times New Roman" w:hAnsi="Times New Roman"/>
      <w:sz w:val="18"/>
      <w:szCs w:val="18"/>
    </w:rPr>
  </w:style>
  <w:style w:type="character" w:customStyle="1" w:styleId="14">
    <w:name w:val="页眉 字符"/>
    <w:link w:val="5"/>
    <w:qFormat/>
    <w:uiPriority w:val="99"/>
    <w:rPr>
      <w:rFonts w:ascii="Times New Roman" w:hAnsi="Times New Roman"/>
      <w:sz w:val="18"/>
      <w:szCs w:val="18"/>
    </w:rPr>
  </w:style>
  <w:style w:type="character" w:customStyle="1" w:styleId="15">
    <w:name w:val="页眉 字符1"/>
    <w:basedOn w:val="9"/>
    <w:semiHidden/>
    <w:qFormat/>
    <w:uiPriority w:val="99"/>
    <w:rPr>
      <w:rFonts w:ascii="Times New Roman" w:hAnsi="Times New Roman" w:eastAsia="宋体" w:cs="Times New Roman"/>
      <w:sz w:val="18"/>
      <w:szCs w:val="18"/>
    </w:rPr>
  </w:style>
  <w:style w:type="character" w:customStyle="1" w:styleId="16">
    <w:name w:val="页脚 字符1"/>
    <w:basedOn w:val="9"/>
    <w:semiHidden/>
    <w:qFormat/>
    <w:uiPriority w:val="99"/>
    <w:rPr>
      <w:rFonts w:ascii="Times New Roman" w:hAnsi="Times New Roman" w:eastAsia="宋体" w:cs="Times New Roman"/>
      <w:sz w:val="18"/>
      <w:szCs w:val="18"/>
    </w:rPr>
  </w:style>
  <w:style w:type="character" w:customStyle="1" w:styleId="17">
    <w:name w:val="批注文字 字符"/>
    <w:basedOn w:val="9"/>
    <w:link w:val="2"/>
    <w:semiHidden/>
    <w:qFormat/>
    <w:uiPriority w:val="99"/>
    <w:rPr>
      <w:rFonts w:ascii="Times New Roman" w:hAnsi="Times New Roman" w:eastAsia="宋体" w:cs="Times New Roman"/>
      <w:szCs w:val="24"/>
    </w:rPr>
  </w:style>
  <w:style w:type="character" w:customStyle="1" w:styleId="18">
    <w:name w:val="批注主题 字符"/>
    <w:basedOn w:val="17"/>
    <w:link w:val="6"/>
    <w:semiHidden/>
    <w:qFormat/>
    <w:uiPriority w:val="99"/>
    <w:rPr>
      <w:rFonts w:ascii="Times New Roman" w:hAnsi="Times New Roman" w:eastAsia="宋体" w:cs="Times New Roman"/>
      <w:b/>
      <w:bCs/>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日期 字符"/>
    <w:basedOn w:val="9"/>
    <w:link w:val="3"/>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1A21-1329-4821-BA71-49E8B798E205}">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4387</Words>
  <Characters>4849</Characters>
  <Lines>35</Lines>
  <Paragraphs>9</Paragraphs>
  <TotalTime>3</TotalTime>
  <ScaleCrop>false</ScaleCrop>
  <LinksUpToDate>false</LinksUpToDate>
  <CharactersWithSpaces>5004</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2021-06-08T02:06:00Z</dcterms:created>
  <dc:creator>sheng king</dc:creator>
  <cp:lastModifiedBy>86137</cp:lastModifiedBy>
  <cp:lastPrinted>2022-09-19T08:44:00Z</cp:lastPrinted>
  <dcterms:modified xsi:type="dcterms:W3CDTF">2023-09-25T05:21:35Z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D2AB9D8129D242B39CB442E91470D54D</vt:lpwstr>
  </property>
</Properties>
</file>