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4FF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3687209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560" w:lineRule="exact"/>
        <w:jc w:val="center"/>
        <w:textAlignment w:val="baseline"/>
        <w:rPr>
          <w:rFonts w:hint="eastAsia" w:ascii="仿宋" w:hAnsi="仿宋" w:eastAsia="仿宋" w:cs="仿宋"/>
          <w:b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snapToGrid/>
          <w:kern w:val="2"/>
          <w:sz w:val="32"/>
          <w:szCs w:val="32"/>
          <w:lang w:val="en-US" w:eastAsia="zh-CN" w:bidi="ar-SA"/>
        </w:rPr>
        <w:t>常州大学商学院学生素质综合测评体系</w:t>
      </w:r>
    </w:p>
    <w:p w14:paraId="66A9E44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560" w:lineRule="exact"/>
        <w:jc w:val="center"/>
        <w:textAlignment w:val="baseline"/>
        <w:rPr>
          <w:rFonts w:hint="eastAsia" w:ascii="仿宋" w:hAnsi="仿宋" w:eastAsia="仿宋" w:cs="仿宋"/>
          <w:b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snapToGrid/>
          <w:kern w:val="2"/>
          <w:sz w:val="32"/>
          <w:szCs w:val="32"/>
          <w:lang w:val="en-US" w:eastAsia="zh-CN" w:bidi="ar-SA"/>
        </w:rPr>
        <w:t>实施细则（试行）</w:t>
      </w:r>
    </w:p>
    <w:p w14:paraId="3E3F4EA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0" w:after="0" w:afterLines="50" w:line="560" w:lineRule="exact"/>
        <w:jc w:val="center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2"/>
          <w:sz w:val="32"/>
          <w:szCs w:val="32"/>
        </w:rPr>
        <w:t>第一章</w:t>
      </w:r>
      <w:r>
        <w:rPr>
          <w:rFonts w:hint="eastAsia" w:ascii="黑体" w:hAnsi="黑体" w:eastAsia="黑体" w:cs="黑体"/>
          <w:b/>
          <w:bCs/>
          <w:spacing w:val="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pacing w:val="2"/>
          <w:sz w:val="32"/>
          <w:szCs w:val="32"/>
        </w:rPr>
        <w:t>总则</w:t>
      </w:r>
    </w:p>
    <w:p w14:paraId="69D254C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5" w:line="560" w:lineRule="exact"/>
        <w:ind w:left="1" w:right="97" w:firstLine="419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第一条</w:t>
      </w: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依据《常州大学学生素质综合测评体系</w:t>
      </w:r>
      <w:r>
        <w:rPr>
          <w:rFonts w:hint="eastAsia" w:ascii="仿宋" w:hAnsi="仿宋" w:eastAsia="仿宋" w:cs="仿宋"/>
          <w:spacing w:val="9"/>
          <w:sz w:val="32"/>
          <w:szCs w:val="32"/>
        </w:rPr>
        <w:t>实施暂行办</w:t>
      </w:r>
      <w:r>
        <w:rPr>
          <w:rFonts w:hint="eastAsia" w:ascii="仿宋" w:hAnsi="仿宋" w:eastAsia="仿宋" w:cs="仿宋"/>
          <w:spacing w:val="8"/>
          <w:sz w:val="32"/>
          <w:szCs w:val="32"/>
        </w:rPr>
        <w:t>法》(试行)（以下简称《暂行办法》</w:t>
      </w:r>
      <w:r>
        <w:rPr>
          <w:rFonts w:hint="eastAsia" w:ascii="仿宋" w:hAnsi="仿宋" w:eastAsia="仿宋" w:cs="仿宋"/>
          <w:spacing w:val="11"/>
          <w:sz w:val="32"/>
          <w:szCs w:val="32"/>
        </w:rPr>
        <w:t>），</w:t>
      </w:r>
      <w:r>
        <w:rPr>
          <w:rFonts w:hint="eastAsia" w:ascii="仿宋" w:hAnsi="仿宋" w:eastAsia="仿宋" w:cs="仿宋"/>
          <w:spacing w:val="8"/>
          <w:sz w:val="32"/>
          <w:szCs w:val="32"/>
        </w:rPr>
        <w:t>结合我院实际，制定本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实施细则。</w:t>
      </w:r>
    </w:p>
    <w:p w14:paraId="506C0FE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7" w:line="560" w:lineRule="exact"/>
        <w:ind w:right="28" w:firstLine="42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第二条</w:t>
      </w: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学生素质综合测评的内容包括德育素质</w:t>
      </w:r>
      <w:r>
        <w:rPr>
          <w:rFonts w:hint="eastAsia" w:ascii="仿宋" w:hAnsi="仿宋" w:eastAsia="仿宋" w:cs="仿宋"/>
          <w:spacing w:val="9"/>
          <w:sz w:val="32"/>
          <w:szCs w:val="32"/>
        </w:rPr>
        <w:t>得分、基础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性素质得分、发展性素质得分三个方面。</w:t>
      </w:r>
      <w:r>
        <w:rPr>
          <w:rFonts w:hint="eastAsia" w:ascii="仿宋" w:hAnsi="仿宋" w:eastAsia="仿宋" w:cs="仿宋"/>
          <w:b/>
          <w:bCs/>
          <w:spacing w:val="10"/>
          <w:sz w:val="32"/>
          <w:szCs w:val="32"/>
        </w:rPr>
        <w:t>德育素质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得分主要评估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学生的政治表现、道德修养、遵纪守法、学习态度、身心健康等。</w:t>
      </w:r>
      <w:r>
        <w:rPr>
          <w:rFonts w:hint="eastAsia" w:ascii="仿宋" w:hAnsi="仿宋" w:eastAsia="仿宋" w:cs="仿宋"/>
          <w:b/>
          <w:bCs/>
          <w:spacing w:val="10"/>
          <w:sz w:val="32"/>
          <w:szCs w:val="32"/>
        </w:rPr>
        <w:t>基础素质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得分主要评估学生的专业学习成绩及体育学</w:t>
      </w:r>
      <w:r>
        <w:rPr>
          <w:rFonts w:hint="eastAsia" w:ascii="仿宋" w:hAnsi="仿宋" w:eastAsia="仿宋" w:cs="仿宋"/>
          <w:spacing w:val="9"/>
          <w:sz w:val="32"/>
          <w:szCs w:val="32"/>
        </w:rPr>
        <w:t>习成绩。</w:t>
      </w:r>
      <w:r>
        <w:rPr>
          <w:rFonts w:hint="eastAsia" w:ascii="仿宋" w:hAnsi="仿宋" w:eastAsia="仿宋" w:cs="仿宋"/>
          <w:b/>
          <w:bCs/>
          <w:spacing w:val="9"/>
          <w:sz w:val="32"/>
          <w:szCs w:val="32"/>
        </w:rPr>
        <w:t>发</w:t>
      </w:r>
      <w:r>
        <w:rPr>
          <w:rFonts w:hint="eastAsia" w:ascii="仿宋" w:hAnsi="仿宋" w:eastAsia="仿宋" w:cs="仿宋"/>
          <w:b/>
          <w:bCs/>
          <w:spacing w:val="10"/>
          <w:sz w:val="32"/>
          <w:szCs w:val="32"/>
        </w:rPr>
        <w:t>展性素质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得分由创新创业能力、社会工作能力、文体活动能力、</w:t>
      </w:r>
      <w:r>
        <w:rPr>
          <w:rFonts w:hint="eastAsia" w:ascii="仿宋" w:hAnsi="仿宋" w:eastAsia="仿宋" w:cs="仿宋"/>
          <w:spacing w:val="9"/>
          <w:sz w:val="32"/>
          <w:szCs w:val="32"/>
        </w:rPr>
        <w:t>操作技能、其他表彰奖励加分和其他处罚减分等方面组成。</w:t>
      </w:r>
    </w:p>
    <w:p w14:paraId="2899ACA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" w:line="560" w:lineRule="exact"/>
        <w:ind w:left="1" w:right="100" w:firstLine="419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第三条</w:t>
      </w: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综合测评每学年进行一次，每学年开学</w:t>
      </w:r>
      <w:r>
        <w:rPr>
          <w:rFonts w:hint="eastAsia" w:ascii="仿宋" w:hAnsi="仿宋" w:eastAsia="仿宋" w:cs="仿宋"/>
          <w:spacing w:val="9"/>
          <w:sz w:val="32"/>
          <w:szCs w:val="32"/>
        </w:rPr>
        <w:t>初，对上一学年的学生综合素质要公平、公正、公开地进行测评。测</w:t>
      </w:r>
      <w:r>
        <w:rPr>
          <w:rFonts w:hint="eastAsia" w:ascii="仿宋" w:hAnsi="仿宋" w:eastAsia="仿宋" w:cs="仿宋"/>
          <w:spacing w:val="8"/>
          <w:sz w:val="32"/>
          <w:szCs w:val="32"/>
        </w:rPr>
        <w:t>评年</w:t>
      </w:r>
      <w:r>
        <w:rPr>
          <w:rFonts w:hint="eastAsia" w:ascii="仿宋" w:hAnsi="仿宋" w:eastAsia="仿宋" w:cs="仿宋"/>
          <w:spacing w:val="4"/>
          <w:sz w:val="32"/>
          <w:szCs w:val="32"/>
        </w:rPr>
        <w:t>9月开展的综合测评</w:t>
      </w:r>
      <w:r>
        <w:rPr>
          <w:rFonts w:hint="eastAsia" w:ascii="仿宋" w:hAnsi="仿宋" w:eastAsia="仿宋" w:cs="仿宋"/>
          <w:b/>
          <w:bCs/>
          <w:spacing w:val="4"/>
          <w:sz w:val="32"/>
          <w:szCs w:val="32"/>
        </w:rPr>
        <w:t>加分材料时间范围为：</w:t>
      </w:r>
      <w:r>
        <w:rPr>
          <w:rFonts w:hint="eastAsia" w:ascii="仿宋" w:hAnsi="仿宋" w:eastAsia="仿宋" w:cs="仿宋"/>
          <w:spacing w:val="3"/>
          <w:sz w:val="32"/>
          <w:szCs w:val="32"/>
        </w:rPr>
        <w:t>测评年的</w:t>
      </w:r>
      <w:r>
        <w:rPr>
          <w:rFonts w:hint="eastAsia" w:ascii="仿宋" w:hAnsi="仿宋" w:eastAsia="仿宋" w:cs="仿宋"/>
          <w:b/>
          <w:bCs/>
          <w:spacing w:val="3"/>
          <w:sz w:val="32"/>
          <w:szCs w:val="32"/>
        </w:rPr>
        <w:t>上一年9</w:t>
      </w:r>
      <w:r>
        <w:rPr>
          <w:rFonts w:hint="eastAsia" w:ascii="仿宋" w:hAnsi="仿宋" w:eastAsia="仿宋" w:cs="仿宋"/>
          <w:b/>
          <w:bCs/>
          <w:spacing w:val="-1"/>
          <w:sz w:val="32"/>
          <w:szCs w:val="32"/>
        </w:rPr>
        <w:t>月1日—测评年的8月31日。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各年级辅导员根据本年级实际自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行规定材料收集截止时间，并且通告本年级学生。各年级按</w:t>
      </w:r>
      <w:r>
        <w:rPr>
          <w:rFonts w:hint="eastAsia" w:ascii="仿宋" w:hAnsi="仿宋" w:eastAsia="仿宋" w:cs="仿宋"/>
          <w:spacing w:val="9"/>
          <w:sz w:val="32"/>
          <w:szCs w:val="32"/>
        </w:rPr>
        <w:t>照学院要求，及时、准确上报综测结果。</w:t>
      </w:r>
    </w:p>
    <w:p w14:paraId="525FA38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0" w:after="0" w:afterLines="50" w:line="560" w:lineRule="exact"/>
        <w:ind w:left="6" w:right="28" w:firstLine="414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第四条</w:t>
      </w: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学生素质综合测评的结果，将作为学生评奖</w:t>
      </w:r>
      <w:r>
        <w:rPr>
          <w:rFonts w:hint="eastAsia" w:ascii="仿宋" w:hAnsi="仿宋" w:eastAsia="仿宋" w:cs="仿宋"/>
          <w:spacing w:val="4"/>
          <w:sz w:val="32"/>
          <w:szCs w:val="32"/>
        </w:rPr>
        <w:t>、评优、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学业鉴定的重要依据。</w:t>
      </w:r>
    </w:p>
    <w:p w14:paraId="0B6EB86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560" w:lineRule="exact"/>
        <w:jc w:val="center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6"/>
          <w:sz w:val="32"/>
          <w:szCs w:val="32"/>
        </w:rPr>
        <w:t>第二章</w:t>
      </w:r>
      <w:r>
        <w:rPr>
          <w:rFonts w:hint="eastAsia" w:ascii="黑体" w:hAnsi="黑体" w:eastAsia="黑体" w:cs="黑体"/>
          <w:b/>
          <w:bCs/>
          <w:spacing w:val="6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pacing w:val="6"/>
          <w:sz w:val="32"/>
          <w:szCs w:val="32"/>
        </w:rPr>
        <w:t>工作程序</w:t>
      </w:r>
    </w:p>
    <w:p w14:paraId="01DB504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3" w:line="560" w:lineRule="exact"/>
        <w:ind w:left="3" w:firstLine="417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第五条</w:t>
      </w:r>
      <w:r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学生综合素质测评工作以“辅导员班主任组织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实施，</w:t>
      </w:r>
      <w:r>
        <w:rPr>
          <w:rFonts w:hint="eastAsia" w:ascii="仿宋" w:hAnsi="仿宋" w:eastAsia="仿宋" w:cs="仿宋"/>
          <w:spacing w:val="13"/>
          <w:sz w:val="32"/>
          <w:szCs w:val="32"/>
        </w:rPr>
        <w:t>学生本人自评，基层班级评分，辅导员班主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任审核，学院复核”</w:t>
      </w:r>
      <w:r>
        <w:rPr>
          <w:rFonts w:hint="eastAsia" w:ascii="仿宋" w:hAnsi="仿宋" w:eastAsia="仿宋" w:cs="仿宋"/>
          <w:spacing w:val="7"/>
          <w:sz w:val="32"/>
          <w:szCs w:val="32"/>
        </w:rPr>
        <w:t>为基本的工作程序。</w:t>
      </w:r>
    </w:p>
    <w:p w14:paraId="44CA42E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" w:line="560" w:lineRule="exact"/>
        <w:ind w:left="2" w:right="97" w:firstLine="418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第六条</w:t>
      </w: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学生应在新学年开学后两周内以书面形</w:t>
      </w:r>
      <w:r>
        <w:rPr>
          <w:rFonts w:hint="eastAsia" w:ascii="仿宋" w:hAnsi="仿宋" w:eastAsia="仿宋" w:cs="仿宋"/>
          <w:spacing w:val="9"/>
          <w:sz w:val="32"/>
          <w:szCs w:val="32"/>
        </w:rPr>
        <w:t>式认真总结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上一学年中在德、智、体、美等方面的表现情况对照测评表进行自评，提交本实施办法所要求的在上一学年获得的各类证书、作品原件或提出加分、评分理由供学院审核，学院依据《常州大学学生素质综合测评体系实施暂行办法》和学院实施细则确定加分</w:t>
      </w:r>
      <w:r>
        <w:rPr>
          <w:rFonts w:hint="eastAsia" w:ascii="仿宋" w:hAnsi="仿宋" w:eastAsia="仿宋" w:cs="仿宋"/>
          <w:spacing w:val="2"/>
          <w:sz w:val="32"/>
          <w:szCs w:val="32"/>
        </w:rPr>
        <w:t>标准。</w:t>
      </w:r>
    </w:p>
    <w:p w14:paraId="62F2C98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" w:line="560" w:lineRule="exact"/>
        <w:ind w:left="1" w:right="69" w:firstLine="419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第七条</w:t>
      </w: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在学院统一组织下，辅导员班主任指导</w:t>
      </w:r>
      <w:r>
        <w:rPr>
          <w:rFonts w:hint="eastAsia" w:ascii="仿宋" w:hAnsi="仿宋" w:eastAsia="仿宋" w:cs="仿宋"/>
          <w:spacing w:val="9"/>
          <w:sz w:val="32"/>
          <w:szCs w:val="32"/>
        </w:rPr>
        <w:t>下，组成班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级主要学生干部和学生代表参加的综合测评评定小组，在审查学生本人自我评价和广泛听取群众意见的基础上，依据班级学生工作记录、学习成绩表和学生日常表现以及要求的有关材料等，按本办法及学院实施细则对学生进行评定。综合测评评定小组的学</w:t>
      </w:r>
      <w:r>
        <w:rPr>
          <w:rFonts w:hint="eastAsia" w:ascii="仿宋" w:hAnsi="仿宋" w:eastAsia="仿宋" w:cs="仿宋"/>
          <w:spacing w:val="9"/>
          <w:sz w:val="32"/>
          <w:szCs w:val="32"/>
        </w:rPr>
        <w:t>生代表不少于班级总人数的</w:t>
      </w:r>
      <w:r>
        <w:rPr>
          <w:rFonts w:hint="eastAsia" w:ascii="仿宋" w:hAnsi="仿宋" w:eastAsia="仿宋" w:cs="仿宋"/>
          <w:b/>
          <w:bCs/>
          <w:spacing w:val="9"/>
          <w:sz w:val="32"/>
          <w:szCs w:val="32"/>
        </w:rPr>
        <w:t>25</w:t>
      </w:r>
      <w:r>
        <w:rPr>
          <w:rFonts w:hint="eastAsia" w:ascii="仿宋" w:hAnsi="仿宋" w:eastAsia="仿宋" w:cs="仿宋"/>
          <w:spacing w:val="9"/>
          <w:sz w:val="32"/>
          <w:szCs w:val="32"/>
        </w:rPr>
        <w:t>%。</w:t>
      </w:r>
    </w:p>
    <w:p w14:paraId="3638228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560" w:lineRule="exact"/>
        <w:ind w:firstLine="42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9"/>
          <w:sz w:val="32"/>
          <w:szCs w:val="32"/>
        </w:rPr>
        <w:t>第八条</w:t>
      </w:r>
      <w:r>
        <w:rPr>
          <w:rFonts w:hint="eastAsia" w:ascii="仿宋" w:hAnsi="仿宋" w:eastAsia="仿宋" w:cs="仿宋"/>
          <w:spacing w:val="9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9"/>
          <w:sz w:val="32"/>
          <w:szCs w:val="32"/>
        </w:rPr>
        <w:t>凡对测评工作结果持有异议的，可在有关结果公布</w:t>
      </w:r>
      <w:r>
        <w:rPr>
          <w:rFonts w:hint="eastAsia" w:ascii="仿宋" w:hAnsi="仿宋" w:eastAsia="仿宋" w:cs="仿宋"/>
          <w:spacing w:val="8"/>
          <w:sz w:val="32"/>
          <w:szCs w:val="32"/>
        </w:rPr>
        <w:t>5日内，以书面形式向学生所在学院申诉，学生所在学院于接到</w:t>
      </w:r>
      <w:r>
        <w:rPr>
          <w:rFonts w:hint="eastAsia" w:ascii="仿宋" w:hAnsi="仿宋" w:eastAsia="仿宋" w:cs="仿宋"/>
          <w:spacing w:val="3"/>
          <w:sz w:val="32"/>
          <w:szCs w:val="32"/>
        </w:rPr>
        <w:t>申诉的5日内组织复核并作出决定，书面通知申诉人及所在班级。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对该决定仍不服的，可在接到决定之日起15</w:t>
      </w:r>
      <w:r>
        <w:rPr>
          <w:rFonts w:hint="eastAsia" w:ascii="仿宋" w:hAnsi="仿宋" w:eastAsia="仿宋" w:cs="仿宋"/>
          <w:spacing w:val="5"/>
          <w:sz w:val="32"/>
          <w:szCs w:val="32"/>
        </w:rPr>
        <w:t>日内向学生处申诉。</w:t>
      </w:r>
    </w:p>
    <w:p w14:paraId="0763CAF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560" w:lineRule="exact"/>
        <w:jc w:val="center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6"/>
          <w:sz w:val="32"/>
          <w:szCs w:val="32"/>
        </w:rPr>
        <w:t>第三章</w:t>
      </w:r>
      <w:r>
        <w:rPr>
          <w:rFonts w:hint="eastAsia" w:ascii="黑体" w:hAnsi="黑体" w:eastAsia="黑体" w:cs="黑体"/>
          <w:b/>
          <w:bCs/>
          <w:spacing w:val="6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pacing w:val="6"/>
          <w:sz w:val="32"/>
          <w:szCs w:val="32"/>
        </w:rPr>
        <w:t>评定依据</w:t>
      </w:r>
    </w:p>
    <w:p w14:paraId="27B5B81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3" w:line="560" w:lineRule="exact"/>
        <w:ind w:right="71" w:firstLine="419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9"/>
          <w:sz w:val="32"/>
          <w:szCs w:val="32"/>
        </w:rPr>
        <w:t>第九条</w:t>
      </w:r>
      <w:r>
        <w:rPr>
          <w:rFonts w:hint="eastAsia" w:ascii="仿宋" w:hAnsi="仿宋" w:eastAsia="仿宋" w:cs="仿宋"/>
          <w:spacing w:val="9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9"/>
          <w:sz w:val="32"/>
          <w:szCs w:val="32"/>
        </w:rPr>
        <w:t>本细则中所述“成绩”均以学校</w:t>
      </w:r>
      <w:r>
        <w:rPr>
          <w:rFonts w:hint="eastAsia" w:ascii="仿宋" w:hAnsi="仿宋" w:eastAsia="仿宋" w:cs="仿宋"/>
          <w:spacing w:val="8"/>
          <w:sz w:val="32"/>
          <w:szCs w:val="32"/>
        </w:rPr>
        <w:t>教务部门鉴定核实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的成绩为依据，课程成绩均以正常考试、考查成绩为准，作弊、</w:t>
      </w:r>
      <w:r>
        <w:rPr>
          <w:rFonts w:hint="eastAsia" w:ascii="仿宋" w:hAnsi="仿宋" w:eastAsia="仿宋" w:cs="仿宋"/>
          <w:spacing w:val="6"/>
          <w:sz w:val="32"/>
          <w:szCs w:val="32"/>
        </w:rPr>
        <w:t>违反考场纪律和旷考记0分。</w:t>
      </w:r>
    </w:p>
    <w:p w14:paraId="46379A9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" w:line="560" w:lineRule="exact"/>
        <w:ind w:left="2" w:right="69" w:firstLine="418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第十条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7"/>
          <w:sz w:val="32"/>
          <w:szCs w:val="32"/>
        </w:rPr>
        <w:t>本细则中有关“获奖”“受表彰”情况均应以该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生提交的评奖学年内的各类证书或经各学院确认后可评分、加分</w:t>
      </w:r>
      <w:r>
        <w:rPr>
          <w:rFonts w:hint="eastAsia" w:ascii="仿宋" w:hAnsi="仿宋" w:eastAsia="仿宋" w:cs="仿宋"/>
          <w:spacing w:val="6"/>
          <w:sz w:val="32"/>
          <w:szCs w:val="32"/>
        </w:rPr>
        <w:t>为评分依据。</w:t>
      </w:r>
    </w:p>
    <w:p w14:paraId="60E97ED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560" w:lineRule="exact"/>
        <w:ind w:left="0" w:right="68" w:firstLine="42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9"/>
          <w:sz w:val="32"/>
          <w:szCs w:val="32"/>
        </w:rPr>
        <w:t>第十一条</w:t>
      </w:r>
      <w:r>
        <w:rPr>
          <w:rFonts w:hint="eastAsia" w:ascii="仿宋" w:hAnsi="仿宋" w:eastAsia="仿宋" w:cs="仿宋"/>
          <w:spacing w:val="9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9"/>
          <w:sz w:val="32"/>
          <w:szCs w:val="32"/>
        </w:rPr>
        <w:t>本细则中有关“刊物”系指国内外</w:t>
      </w:r>
      <w:r>
        <w:rPr>
          <w:rFonts w:hint="eastAsia" w:ascii="仿宋" w:hAnsi="仿宋" w:eastAsia="仿宋" w:cs="仿宋"/>
          <w:spacing w:val="8"/>
          <w:sz w:val="32"/>
          <w:szCs w:val="32"/>
        </w:rPr>
        <w:t>正式发行、且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有正式刊号的公开出版物，并以该生提交的载有所发表论文的原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刊为评分依据。</w:t>
      </w:r>
    </w:p>
    <w:p w14:paraId="3034A62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560" w:lineRule="exact"/>
        <w:jc w:val="center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6"/>
          <w:sz w:val="32"/>
          <w:szCs w:val="32"/>
        </w:rPr>
        <w:t>第四章</w:t>
      </w:r>
      <w:r>
        <w:rPr>
          <w:rFonts w:hint="eastAsia" w:ascii="黑体" w:hAnsi="黑体" w:eastAsia="黑体" w:cs="黑体"/>
          <w:b/>
          <w:bCs/>
          <w:spacing w:val="6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pacing w:val="6"/>
          <w:sz w:val="32"/>
          <w:szCs w:val="32"/>
        </w:rPr>
        <w:t>评分方法</w:t>
      </w:r>
    </w:p>
    <w:p w14:paraId="06FD789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5" w:line="560" w:lineRule="exact"/>
        <w:ind w:left="42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9"/>
          <w:sz w:val="32"/>
          <w:szCs w:val="32"/>
        </w:rPr>
        <w:t>第十二条</w:t>
      </w:r>
      <w:r>
        <w:rPr>
          <w:rFonts w:hint="eastAsia" w:ascii="仿宋" w:hAnsi="仿宋" w:eastAsia="仿宋" w:cs="仿宋"/>
          <w:spacing w:val="9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9"/>
          <w:sz w:val="32"/>
          <w:szCs w:val="32"/>
        </w:rPr>
        <w:t>学生素质综合测评的指标组成体系和权重</w:t>
      </w:r>
    </w:p>
    <w:p w14:paraId="502DE80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1" w:line="560" w:lineRule="exact"/>
        <w:ind w:left="4" w:right="70" w:firstLine="426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3"/>
          <w:sz w:val="32"/>
          <w:szCs w:val="32"/>
        </w:rPr>
        <w:t>1.学生素质综合测评得分=德育素质得分+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基础性素质得分+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发展性素质得分</w:t>
      </w:r>
    </w:p>
    <w:p w14:paraId="590B77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92" w:firstLineChars="200"/>
        <w:jc w:val="both"/>
        <w:textAlignment w:val="baseline"/>
        <w:rPr>
          <w:rFonts w:hint="eastAsia" w:ascii="仿宋" w:hAnsi="仿宋" w:eastAsia="仿宋" w:cs="仿宋"/>
          <w:b/>
          <w:bCs/>
          <w:spacing w:val="7"/>
          <w:sz w:val="32"/>
          <w:szCs w:val="32"/>
        </w:rPr>
      </w:pPr>
      <w:r>
        <w:rPr>
          <w:rFonts w:hint="eastAsia" w:ascii="仿宋" w:hAnsi="仿宋" w:eastAsia="仿宋" w:cs="仿宋"/>
          <w:spacing w:val="13"/>
          <w:sz w:val="32"/>
          <w:szCs w:val="32"/>
        </w:rPr>
        <w:t>2.基础性素质得分＝智育素质测评分×80%＋体育素质测评分×20%</w:t>
      </w:r>
    </w:p>
    <w:p w14:paraId="0DA9FF1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560" w:lineRule="exact"/>
        <w:ind w:left="421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7"/>
          <w:sz w:val="32"/>
          <w:szCs w:val="32"/>
        </w:rPr>
        <w:t>一、德育素质得分</w:t>
      </w:r>
    </w:p>
    <w:p w14:paraId="3EC1B92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560" w:lineRule="exact"/>
        <w:ind w:left="217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4"/>
          <w:sz w:val="32"/>
          <w:szCs w:val="32"/>
        </w:rPr>
        <w:t>（一）德育素质测评分（满分100分）</w:t>
      </w:r>
    </w:p>
    <w:p w14:paraId="4F01A7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8"/>
        <w:tblW w:w="793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7263"/>
      </w:tblGrid>
      <w:tr w14:paraId="1BB42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673" w:type="dxa"/>
            <w:vAlign w:val="top"/>
          </w:tcPr>
          <w:p w14:paraId="71A814B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560" w:lineRule="exact"/>
              <w:ind w:left="145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</w:rPr>
              <w:t>项目</w:t>
            </w:r>
          </w:p>
        </w:tc>
        <w:tc>
          <w:tcPr>
            <w:tcW w:w="7263" w:type="dxa"/>
            <w:vAlign w:val="top"/>
          </w:tcPr>
          <w:p w14:paraId="4B7E4A6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560" w:lineRule="exact"/>
              <w:ind w:left="2373" w:firstLine="612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7"/>
                <w:sz w:val="32"/>
                <w:szCs w:val="32"/>
              </w:rPr>
              <w:t>内容</w:t>
            </w:r>
          </w:p>
        </w:tc>
      </w:tr>
      <w:tr w14:paraId="491AF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  <w:jc w:val="center"/>
        </w:trPr>
        <w:tc>
          <w:tcPr>
            <w:tcW w:w="673" w:type="dxa"/>
            <w:vAlign w:val="top"/>
          </w:tcPr>
          <w:p w14:paraId="144CCF1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560" w:lineRule="exact"/>
              <w:ind w:right="135" w:firstLine="330" w:firstLineChars="100"/>
              <w:jc w:val="both"/>
              <w:textAlignment w:val="baseline"/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>政</w:t>
            </w:r>
          </w:p>
          <w:p w14:paraId="292931B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560" w:lineRule="exact"/>
              <w:ind w:right="135" w:firstLine="330" w:firstLineChars="100"/>
              <w:jc w:val="both"/>
              <w:textAlignment w:val="baseline"/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>治</w:t>
            </w:r>
          </w:p>
          <w:p w14:paraId="1FFA914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560" w:lineRule="exact"/>
              <w:ind w:right="135" w:firstLine="330" w:firstLineChars="100"/>
              <w:jc w:val="both"/>
              <w:textAlignment w:val="baseline"/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>表</w:t>
            </w:r>
          </w:p>
          <w:p w14:paraId="63B349D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560" w:lineRule="exact"/>
              <w:ind w:right="135" w:firstLine="330" w:firstLineChars="1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>现</w:t>
            </w:r>
          </w:p>
        </w:tc>
        <w:tc>
          <w:tcPr>
            <w:tcW w:w="7263" w:type="dxa"/>
            <w:vAlign w:val="top"/>
          </w:tcPr>
          <w:p w14:paraId="37CA1C5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560" w:lineRule="exact"/>
              <w:ind w:left="111" w:right="106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3"/>
                <w:sz w:val="32"/>
                <w:szCs w:val="32"/>
              </w:rPr>
              <w:t>拥护中国共产党领导，努力学习马克思列宁</w:t>
            </w:r>
            <w:r>
              <w:rPr>
                <w:rFonts w:hint="eastAsia" w:ascii="仿宋" w:hAnsi="仿宋" w:eastAsia="仿宋" w:cs="仿宋"/>
                <w:spacing w:val="12"/>
                <w:sz w:val="32"/>
                <w:szCs w:val="32"/>
              </w:rPr>
              <w:t>主义、毛泽</w:t>
            </w:r>
            <w:r>
              <w:rPr>
                <w:rFonts w:hint="eastAsia" w:ascii="仿宋" w:hAnsi="仿宋" w:eastAsia="仿宋" w:cs="仿宋"/>
                <w:spacing w:val="13"/>
                <w:sz w:val="32"/>
                <w:szCs w:val="32"/>
              </w:rPr>
              <w:t>东思想、中国特色社会主义理论体系，深入学</w:t>
            </w:r>
            <w:r>
              <w:rPr>
                <w:rFonts w:hint="eastAsia" w:ascii="仿宋" w:hAnsi="仿宋" w:eastAsia="仿宋" w:cs="仿宋"/>
                <w:spacing w:val="12"/>
                <w:sz w:val="32"/>
                <w:szCs w:val="32"/>
              </w:rPr>
              <w:t>习习近平</w:t>
            </w:r>
            <w:r>
              <w:rPr>
                <w:rFonts w:hint="eastAsia" w:ascii="仿宋" w:hAnsi="仿宋" w:eastAsia="仿宋" w:cs="仿宋"/>
                <w:spacing w:val="13"/>
                <w:sz w:val="32"/>
                <w:szCs w:val="32"/>
              </w:rPr>
              <w:t>新时代中国特色社会主义思想，坚定中国特色</w:t>
            </w:r>
            <w:r>
              <w:rPr>
                <w:rFonts w:hint="eastAsia" w:ascii="仿宋" w:hAnsi="仿宋" w:eastAsia="仿宋" w:cs="仿宋"/>
                <w:spacing w:val="12"/>
                <w:sz w:val="32"/>
                <w:szCs w:val="32"/>
              </w:rPr>
              <w:t>社会主义</w:t>
            </w:r>
            <w:r>
              <w:rPr>
                <w:rFonts w:hint="eastAsia" w:ascii="仿宋" w:hAnsi="仿宋" w:eastAsia="仿宋" w:cs="仿宋"/>
                <w:spacing w:val="13"/>
                <w:sz w:val="32"/>
                <w:szCs w:val="32"/>
              </w:rPr>
              <w:t>道路自信、理论自信、制度自信、文化自信，</w:t>
            </w:r>
            <w:r>
              <w:rPr>
                <w:rFonts w:hint="eastAsia" w:ascii="仿宋" w:hAnsi="仿宋" w:eastAsia="仿宋" w:cs="仿宋"/>
                <w:spacing w:val="12"/>
                <w:sz w:val="32"/>
                <w:szCs w:val="32"/>
              </w:rPr>
              <w:t>树立中国</w:t>
            </w: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</w:rPr>
              <w:t>特色社会主义共同理想</w:t>
            </w:r>
            <w:r>
              <w:rPr>
                <w:rFonts w:hint="eastAsia" w:ascii="仿宋" w:hAnsi="仿宋" w:eastAsia="仿宋" w:cs="仿宋"/>
                <w:color w:val="444444"/>
                <w:spacing w:val="8"/>
                <w:sz w:val="32"/>
                <w:szCs w:val="32"/>
              </w:rPr>
              <w:t>。</w:t>
            </w:r>
          </w:p>
        </w:tc>
      </w:tr>
      <w:tr w14:paraId="67390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  <w:jc w:val="center"/>
        </w:trPr>
        <w:tc>
          <w:tcPr>
            <w:tcW w:w="673" w:type="dxa"/>
            <w:vAlign w:val="top"/>
          </w:tcPr>
          <w:p w14:paraId="6F302AC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560" w:lineRule="exact"/>
              <w:ind w:right="135" w:firstLine="330" w:firstLineChars="100"/>
              <w:jc w:val="both"/>
              <w:textAlignment w:val="baseline"/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>道</w:t>
            </w:r>
          </w:p>
          <w:p w14:paraId="7A72806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560" w:lineRule="exact"/>
              <w:ind w:right="135" w:firstLine="330" w:firstLineChars="100"/>
              <w:jc w:val="both"/>
              <w:textAlignment w:val="baseline"/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>德</w:t>
            </w:r>
          </w:p>
          <w:p w14:paraId="7D1548B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560" w:lineRule="exact"/>
              <w:ind w:right="135" w:firstLine="330" w:firstLineChars="100"/>
              <w:jc w:val="both"/>
              <w:textAlignment w:val="baseline"/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>修</w:t>
            </w:r>
          </w:p>
          <w:p w14:paraId="4CB91DC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560" w:lineRule="exact"/>
              <w:ind w:right="135" w:firstLine="330" w:firstLineChars="1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>养</w:t>
            </w:r>
          </w:p>
        </w:tc>
        <w:tc>
          <w:tcPr>
            <w:tcW w:w="7263" w:type="dxa"/>
            <w:vAlign w:val="top"/>
          </w:tcPr>
          <w:p w14:paraId="5913704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560" w:lineRule="exact"/>
              <w:ind w:left="111" w:right="55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3"/>
                <w:sz w:val="32"/>
                <w:szCs w:val="32"/>
              </w:rPr>
              <w:t>树立爱国主义思想，具有团结统一、爱好和</w:t>
            </w:r>
            <w:r>
              <w:rPr>
                <w:rFonts w:hint="eastAsia" w:ascii="仿宋" w:hAnsi="仿宋" w:eastAsia="仿宋" w:cs="仿宋"/>
                <w:spacing w:val="12"/>
                <w:sz w:val="32"/>
                <w:szCs w:val="32"/>
              </w:rPr>
              <w:t>平、勤劳勇</w:t>
            </w: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</w:rPr>
              <w:t>敢、自强不息的精神。注重思想道德修养，自觉遵守社</w:t>
            </w:r>
            <w:r>
              <w:rPr>
                <w:rFonts w:hint="eastAsia" w:ascii="仿宋" w:hAnsi="仿宋" w:eastAsia="仿宋" w:cs="仿宋"/>
                <w:spacing w:val="11"/>
                <w:sz w:val="32"/>
                <w:szCs w:val="32"/>
              </w:rPr>
              <w:t>会公德，自尊自爱，尊敬师长，关心集体，团结同学，</w:t>
            </w:r>
            <w:r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  <w:t>乐于助人，诚实守信，知行统一，举止文明</w:t>
            </w:r>
            <w:r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  <w:t>，勤俭节约，</w:t>
            </w:r>
            <w:r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  <w:t>按规定交纳学费。</w:t>
            </w:r>
          </w:p>
        </w:tc>
      </w:tr>
      <w:tr w14:paraId="704E9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  <w:jc w:val="center"/>
        </w:trPr>
        <w:tc>
          <w:tcPr>
            <w:tcW w:w="673" w:type="dxa"/>
            <w:vAlign w:val="top"/>
          </w:tcPr>
          <w:p w14:paraId="19B3CDC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560" w:lineRule="exact"/>
              <w:ind w:right="135" w:firstLine="330" w:firstLineChars="100"/>
              <w:jc w:val="both"/>
              <w:textAlignment w:val="baseline"/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>遵</w:t>
            </w:r>
          </w:p>
          <w:p w14:paraId="702DC7D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560" w:lineRule="exact"/>
              <w:ind w:right="135" w:firstLine="330" w:firstLineChars="100"/>
              <w:jc w:val="both"/>
              <w:textAlignment w:val="baseline"/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>纪</w:t>
            </w:r>
          </w:p>
          <w:p w14:paraId="36CF8AE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560" w:lineRule="exact"/>
              <w:ind w:right="135" w:firstLine="324" w:firstLineChars="100"/>
              <w:jc w:val="both"/>
              <w:textAlignment w:val="baseline"/>
              <w:rPr>
                <w:rFonts w:hint="eastAsia" w:ascii="仿宋" w:hAnsi="仿宋" w:eastAsia="仿宋" w:cs="仿宋"/>
                <w:spacing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2"/>
                <w:sz w:val="32"/>
                <w:szCs w:val="32"/>
              </w:rPr>
              <w:t>守</w:t>
            </w:r>
          </w:p>
          <w:p w14:paraId="60F8885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560" w:lineRule="exact"/>
              <w:ind w:right="135" w:firstLine="324" w:firstLineChars="1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2"/>
                <w:sz w:val="32"/>
                <w:szCs w:val="32"/>
              </w:rPr>
              <w:t>法</w:t>
            </w:r>
          </w:p>
        </w:tc>
        <w:tc>
          <w:tcPr>
            <w:tcW w:w="7263" w:type="dxa"/>
            <w:vAlign w:val="top"/>
          </w:tcPr>
          <w:p w14:paraId="4FB5D25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560" w:lineRule="exact"/>
              <w:ind w:left="113" w:right="106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3"/>
                <w:sz w:val="32"/>
                <w:szCs w:val="32"/>
              </w:rPr>
              <w:t>增强法治观念，遵守宪法、法律、法规，遵</w:t>
            </w:r>
            <w:r>
              <w:rPr>
                <w:rFonts w:hint="eastAsia" w:ascii="仿宋" w:hAnsi="仿宋" w:eastAsia="仿宋" w:cs="仿宋"/>
                <w:spacing w:val="12"/>
                <w:sz w:val="32"/>
                <w:szCs w:val="32"/>
              </w:rPr>
              <w:t>守公民道德规范，遵守学校管理制度，具有良好的道德品质和行为</w:t>
            </w:r>
            <w:r>
              <w:rPr>
                <w:rFonts w:hint="eastAsia" w:ascii="仿宋" w:hAnsi="仿宋" w:eastAsia="仿宋" w:cs="仿宋"/>
                <w:spacing w:val="10"/>
                <w:sz w:val="32"/>
                <w:szCs w:val="32"/>
              </w:rPr>
              <w:t>习惯，自觉维护公共秩序，服从管理，勇于同各种违纪</w:t>
            </w:r>
            <w:r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  <w:t>现象作斗争。</w:t>
            </w:r>
          </w:p>
        </w:tc>
      </w:tr>
      <w:tr w14:paraId="3CEE7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673" w:type="dxa"/>
            <w:vAlign w:val="top"/>
          </w:tcPr>
          <w:p w14:paraId="0AC9552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560" w:lineRule="exact"/>
              <w:ind w:right="135" w:firstLine="326" w:firstLineChars="100"/>
              <w:jc w:val="both"/>
              <w:textAlignment w:val="baseline"/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</w:rPr>
              <w:t>学</w:t>
            </w:r>
          </w:p>
          <w:p w14:paraId="179CF48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560" w:lineRule="exact"/>
              <w:ind w:right="135" w:firstLine="330" w:firstLineChars="100"/>
              <w:jc w:val="both"/>
              <w:textAlignment w:val="baseline"/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>习</w:t>
            </w:r>
          </w:p>
          <w:p w14:paraId="23EDD94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560" w:lineRule="exact"/>
              <w:ind w:right="135" w:firstLine="330" w:firstLineChars="100"/>
              <w:jc w:val="both"/>
              <w:textAlignment w:val="baseline"/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>态</w:t>
            </w:r>
          </w:p>
          <w:p w14:paraId="714A403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560" w:lineRule="exact"/>
              <w:ind w:right="135" w:firstLine="330" w:firstLineChars="1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>度</w:t>
            </w:r>
          </w:p>
        </w:tc>
        <w:tc>
          <w:tcPr>
            <w:tcW w:w="7263" w:type="dxa"/>
            <w:vAlign w:val="top"/>
          </w:tcPr>
          <w:p w14:paraId="2427DC7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560" w:lineRule="exact"/>
              <w:ind w:left="113" w:right="183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9"/>
                <w:sz w:val="32"/>
                <w:szCs w:val="32"/>
              </w:rPr>
              <w:t>刻苦学习，勇于探索，积极实践，努力掌握现代科学文</w:t>
            </w:r>
            <w:r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  <w:t>化知识和专业技能。</w:t>
            </w:r>
          </w:p>
        </w:tc>
      </w:tr>
      <w:tr w14:paraId="499BD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673" w:type="dxa"/>
            <w:vAlign w:val="top"/>
          </w:tcPr>
          <w:p w14:paraId="7D837F6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560" w:lineRule="exact"/>
              <w:ind w:right="135" w:firstLine="330" w:firstLineChars="100"/>
              <w:jc w:val="both"/>
              <w:textAlignment w:val="baseline"/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>身</w:t>
            </w:r>
          </w:p>
          <w:p w14:paraId="01BFE92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560" w:lineRule="exact"/>
              <w:ind w:right="135" w:firstLine="330" w:firstLineChars="100"/>
              <w:jc w:val="both"/>
              <w:textAlignment w:val="baseline"/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>心</w:t>
            </w:r>
          </w:p>
          <w:p w14:paraId="739D565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560" w:lineRule="exact"/>
              <w:ind w:right="135" w:firstLine="330" w:firstLineChars="100"/>
              <w:jc w:val="both"/>
              <w:textAlignment w:val="baseline"/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>健</w:t>
            </w:r>
          </w:p>
          <w:p w14:paraId="3F6C0E8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560" w:lineRule="exact"/>
              <w:ind w:right="135" w:firstLine="330" w:firstLineChars="1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>康</w:t>
            </w:r>
          </w:p>
        </w:tc>
        <w:tc>
          <w:tcPr>
            <w:tcW w:w="7263" w:type="dxa"/>
            <w:vAlign w:val="top"/>
          </w:tcPr>
          <w:p w14:paraId="488E0AE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560" w:lineRule="exact"/>
              <w:ind w:left="113" w:right="106" w:hanging="1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3"/>
                <w:sz w:val="32"/>
                <w:szCs w:val="32"/>
              </w:rPr>
              <w:t>积极锻炼身体，增进身心健康，提高个人修</w:t>
            </w:r>
            <w:r>
              <w:rPr>
                <w:rFonts w:hint="eastAsia" w:ascii="仿宋" w:hAnsi="仿宋" w:eastAsia="仿宋" w:cs="仿宋"/>
                <w:spacing w:val="12"/>
                <w:sz w:val="32"/>
                <w:szCs w:val="32"/>
              </w:rPr>
              <w:t>养，培养审</w:t>
            </w: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>美情趣。</w:t>
            </w:r>
          </w:p>
        </w:tc>
      </w:tr>
    </w:tbl>
    <w:p w14:paraId="25DED1F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560" w:lineRule="exact"/>
        <w:ind w:firstLine="427"/>
        <w:jc w:val="both"/>
        <w:textAlignment w:val="baseline"/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1.德育素质得分（满分100分）=德育基础分（80分）+德育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发展分（15分）+其他加分（5分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），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德育基础分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和德育发展分分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别从政治表现、道德修养、遵纪守法、学习态度、身心健康等五</w:t>
      </w:r>
      <w:r>
        <w:rPr>
          <w:rFonts w:hint="eastAsia" w:ascii="仿宋" w:hAnsi="仿宋" w:eastAsia="仿宋" w:cs="仿宋"/>
          <w:spacing w:val="4"/>
          <w:sz w:val="32"/>
          <w:szCs w:val="32"/>
        </w:rPr>
        <w:t>项对学生进行考察，其中每项基础分16分，发展分3分，其他加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分满分5分，具体见附表1《常州大学商学院学生德育素质测评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参考表》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。</w:t>
      </w:r>
    </w:p>
    <w:p w14:paraId="37BC0F8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560" w:lineRule="exact"/>
        <w:ind w:left="424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2.德育素质测评分由综合测评评定小组为全班学生打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分。</w:t>
      </w:r>
    </w:p>
    <w:p w14:paraId="681A2D9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3" w:line="560" w:lineRule="exact"/>
        <w:ind w:right="71" w:firstLine="423"/>
        <w:jc w:val="both"/>
        <w:textAlignment w:val="baseline"/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3.辅导员或班主任可根据学生本人在校日</w:t>
      </w:r>
      <w:r>
        <w:rPr>
          <w:rFonts w:hint="eastAsia" w:ascii="仿宋" w:hAnsi="仿宋" w:eastAsia="仿宋" w:cs="仿宋"/>
          <w:spacing w:val="9"/>
          <w:sz w:val="32"/>
          <w:szCs w:val="32"/>
        </w:rPr>
        <w:t>常学习、生活中的表现提出附加分建议，但分值不超过2分。德育素质测评总分不</w:t>
      </w:r>
      <w:r>
        <w:rPr>
          <w:rFonts w:hint="eastAsia" w:ascii="仿宋" w:hAnsi="仿宋" w:eastAsia="仿宋" w:cs="仿宋"/>
          <w:spacing w:val="1"/>
          <w:sz w:val="32"/>
          <w:szCs w:val="32"/>
        </w:rPr>
        <w:t>超过100分。</w:t>
      </w:r>
    </w:p>
    <w:p w14:paraId="3024B94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2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4.德育素质测评加分项细则：</w:t>
      </w:r>
    </w:p>
    <w:p w14:paraId="43316CA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560" w:lineRule="exact"/>
        <w:ind w:left="430"/>
        <w:jc w:val="both"/>
        <w:textAlignment w:val="baseline"/>
        <w:rPr>
          <w:rFonts w:hint="eastAsia" w:ascii="仿宋" w:hAnsi="仿宋" w:eastAsia="仿宋" w:cs="仿宋"/>
          <w:spacing w:val="1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9"/>
          <w:sz w:val="32"/>
          <w:szCs w:val="32"/>
          <w:highlight w:val="none"/>
        </w:rPr>
        <w:t>（1）志愿者服务活动加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分规则</w:t>
      </w:r>
    </w:p>
    <w:p w14:paraId="110C611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68" w:firstLine="420"/>
        <w:jc w:val="both"/>
        <w:textAlignment w:val="baseline"/>
        <w:rPr>
          <w:rFonts w:hint="eastAsia" w:ascii="仿宋" w:hAnsi="仿宋" w:eastAsia="仿宋" w:cs="仿宋"/>
          <w:spacing w:val="1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spacing w:val="1"/>
          <w:sz w:val="32"/>
          <w:szCs w:val="32"/>
          <w:highlight w:val="none"/>
          <w:shd w:val="clear" w:color="auto" w:fill="auto"/>
        </w:rPr>
        <w:t>所有参与综测评定的志愿服务必须从学校或学院报名参加，个人在校外参加的志愿服务</w:t>
      </w:r>
      <w:r>
        <w:rPr>
          <w:rFonts w:hint="eastAsia" w:ascii="仿宋" w:hAnsi="仿宋" w:eastAsia="仿宋" w:cs="仿宋"/>
          <w:spacing w:val="1"/>
          <w:sz w:val="32"/>
          <w:szCs w:val="32"/>
          <w:highlight w:val="none"/>
          <w:shd w:val="clear" w:color="auto" w:fill="auto"/>
          <w:lang w:eastAsia="zh-CN"/>
        </w:rPr>
        <w:t>需</w:t>
      </w:r>
      <w:r>
        <w:rPr>
          <w:rFonts w:hint="eastAsia" w:ascii="仿宋" w:hAnsi="仿宋" w:eastAsia="仿宋" w:cs="仿宋"/>
          <w:spacing w:val="1"/>
          <w:sz w:val="32"/>
          <w:szCs w:val="32"/>
          <w:highlight w:val="none"/>
          <w:shd w:val="clear" w:color="auto" w:fill="auto"/>
        </w:rPr>
        <w:t>受表彰</w:t>
      </w:r>
      <w:r>
        <w:rPr>
          <w:rFonts w:hint="eastAsia" w:ascii="仿宋" w:hAnsi="仿宋" w:eastAsia="仿宋" w:cs="仿宋"/>
          <w:spacing w:val="1"/>
          <w:sz w:val="32"/>
          <w:szCs w:val="32"/>
          <w:highlight w:val="none"/>
          <w:shd w:val="clear" w:color="auto" w:fill="auto"/>
          <w:lang w:eastAsia="zh-CN"/>
        </w:rPr>
        <w:t>，受表彰证明的</w:t>
      </w:r>
      <w:r>
        <w:rPr>
          <w:rFonts w:hint="eastAsia" w:ascii="仿宋" w:hAnsi="仿宋" w:eastAsia="仿宋" w:cs="仿宋"/>
          <w:spacing w:val="1"/>
          <w:sz w:val="32"/>
          <w:szCs w:val="32"/>
          <w:highlight w:val="none"/>
          <w:shd w:val="clear" w:color="auto" w:fill="auto"/>
        </w:rPr>
        <w:t>盖章落款须为区级政府及以上，村委会、私人企业、其他社会机构等不予认定。</w:t>
      </w:r>
    </w:p>
    <w:p w14:paraId="5E5F952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1" w:line="560" w:lineRule="exact"/>
        <w:ind w:right="71" w:firstLine="422"/>
        <w:jc w:val="both"/>
        <w:textAlignment w:val="baseline"/>
        <w:rPr>
          <w:rFonts w:hint="eastAsia" w:ascii="仿宋" w:hAnsi="仿宋" w:eastAsia="仿宋" w:cs="仿宋"/>
          <w:spacing w:val="1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spacing w:val="1"/>
          <w:sz w:val="32"/>
          <w:szCs w:val="32"/>
          <w:highlight w:val="none"/>
          <w:shd w:val="clear" w:color="auto" w:fill="auto"/>
        </w:rPr>
        <w:t>学生</w:t>
      </w:r>
      <w:r>
        <w:rPr>
          <w:rFonts w:hint="eastAsia" w:ascii="仿宋" w:hAnsi="仿宋" w:eastAsia="仿宋" w:cs="仿宋"/>
          <w:spacing w:val="1"/>
          <w:sz w:val="32"/>
          <w:szCs w:val="32"/>
          <w:highlight w:val="none"/>
          <w:shd w:val="clear" w:color="auto" w:fill="auto"/>
          <w:lang w:eastAsia="zh-CN"/>
        </w:rPr>
        <w:t>参与综测</w:t>
      </w:r>
      <w:r>
        <w:rPr>
          <w:rFonts w:hint="eastAsia" w:ascii="仿宋" w:hAnsi="仿宋" w:eastAsia="仿宋" w:cs="仿宋"/>
          <w:spacing w:val="1"/>
          <w:sz w:val="32"/>
          <w:szCs w:val="32"/>
          <w:highlight w:val="none"/>
          <w:shd w:val="clear" w:color="auto" w:fill="auto"/>
        </w:rPr>
        <w:t>志愿服务</w:t>
      </w:r>
      <w:r>
        <w:rPr>
          <w:rFonts w:hint="eastAsia" w:ascii="仿宋" w:hAnsi="仿宋" w:eastAsia="仿宋" w:cs="仿宋"/>
          <w:spacing w:val="1"/>
          <w:sz w:val="32"/>
          <w:szCs w:val="32"/>
          <w:highlight w:val="none"/>
          <w:shd w:val="clear" w:color="auto" w:fill="auto"/>
          <w:lang w:eastAsia="zh-CN"/>
        </w:rPr>
        <w:t>的评定证明</w:t>
      </w:r>
      <w:r>
        <w:rPr>
          <w:rFonts w:hint="eastAsia" w:ascii="仿宋" w:hAnsi="仿宋" w:eastAsia="仿宋" w:cs="仿宋"/>
          <w:spacing w:val="1"/>
          <w:sz w:val="32"/>
          <w:szCs w:val="32"/>
          <w:highlight w:val="none"/>
          <w:shd w:val="clear" w:color="auto" w:fill="auto"/>
        </w:rPr>
        <w:t>须有</w:t>
      </w:r>
      <w:r>
        <w:rPr>
          <w:rFonts w:hint="eastAsia" w:ascii="仿宋" w:hAnsi="仿宋" w:eastAsia="仿宋" w:cs="仿宋"/>
          <w:spacing w:val="1"/>
          <w:sz w:val="32"/>
          <w:szCs w:val="32"/>
          <w:highlight w:val="none"/>
          <w:shd w:val="clear" w:color="auto" w:fill="auto"/>
          <w:lang w:eastAsia="zh-CN"/>
        </w:rPr>
        <w:t>负责人</w:t>
      </w:r>
      <w:r>
        <w:rPr>
          <w:rFonts w:hint="eastAsia" w:ascii="仿宋" w:hAnsi="仿宋" w:eastAsia="仿宋" w:cs="仿宋"/>
          <w:spacing w:val="1"/>
          <w:sz w:val="32"/>
          <w:szCs w:val="32"/>
          <w:highlight w:val="none"/>
          <w:shd w:val="clear" w:color="auto" w:fill="auto"/>
          <w:lang w:val="en-US" w:eastAsia="zh-CN"/>
        </w:rPr>
        <w:t>签名且</w:t>
      </w:r>
      <w:r>
        <w:rPr>
          <w:rFonts w:hint="eastAsia" w:ascii="仿宋" w:hAnsi="仿宋" w:eastAsia="仿宋" w:cs="仿宋"/>
          <w:spacing w:val="1"/>
          <w:sz w:val="32"/>
          <w:szCs w:val="32"/>
          <w:highlight w:val="none"/>
          <w:shd w:val="clear" w:color="auto" w:fill="auto"/>
        </w:rPr>
        <w:t>加盖红章</w:t>
      </w:r>
      <w:r>
        <w:rPr>
          <w:rFonts w:hint="eastAsia" w:ascii="仿宋" w:hAnsi="仿宋" w:eastAsia="仿宋" w:cs="仿宋"/>
          <w:spacing w:val="1"/>
          <w:sz w:val="32"/>
          <w:szCs w:val="32"/>
          <w:highlight w:val="none"/>
          <w:shd w:val="clear" w:color="auto" w:fill="auto"/>
          <w:lang w:eastAsia="zh-CN"/>
        </w:rPr>
        <w:t>。</w:t>
      </w:r>
      <w:r>
        <w:rPr>
          <w:rFonts w:hint="eastAsia" w:ascii="仿宋" w:hAnsi="仿宋" w:eastAsia="仿宋" w:cs="仿宋"/>
          <w:spacing w:val="1"/>
          <w:sz w:val="32"/>
          <w:szCs w:val="32"/>
          <w:highlight w:val="none"/>
          <w:shd w:val="clear" w:color="auto" w:fill="auto"/>
        </w:rPr>
        <w:t>参加同一活动的不同赛道、级别等视为一个志愿活动，1次加0.1分，以此类推。</w:t>
      </w:r>
    </w:p>
    <w:p w14:paraId="0840345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1" w:line="560" w:lineRule="exact"/>
        <w:ind w:right="71" w:firstLine="422"/>
        <w:jc w:val="both"/>
        <w:textAlignment w:val="baseline"/>
        <w:rPr>
          <w:rFonts w:hint="eastAsia" w:ascii="仿宋" w:hAnsi="仿宋" w:eastAsia="仿宋" w:cs="仿宋"/>
          <w:spacing w:val="1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  <w:highlight w:val="none"/>
          <w:shd w:val="clear" w:color="auto" w:fill="auto"/>
          <w:lang w:val="en-US" w:eastAsia="zh-CN"/>
        </w:rPr>
        <w:t>所有参与综测评定的志愿服务一律按照次数认定，党团推优则一律按照时长认定。</w:t>
      </w:r>
    </w:p>
    <w:p w14:paraId="278E186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31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（2）暑期社会实践</w:t>
      </w:r>
    </w:p>
    <w:p w14:paraId="4623375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68" w:firstLine="42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参加校院两级暑期社会实践小分队并立项的同学加0.1分；</w:t>
      </w:r>
      <w:r>
        <w:rPr>
          <w:rFonts w:hint="eastAsia" w:ascii="仿宋" w:hAnsi="仿宋" w:eastAsia="仿宋" w:cs="仿宋"/>
          <w:spacing w:val="1"/>
          <w:sz w:val="32"/>
          <w:szCs w:val="32"/>
        </w:rPr>
        <w:t>参加社会实践活动受院级表彰加0.3分，校级表彰加0.6分，市级</w:t>
      </w:r>
      <w:r>
        <w:rPr>
          <w:rFonts w:hint="eastAsia" w:ascii="仿宋" w:hAnsi="仿宋" w:eastAsia="仿宋" w:cs="仿宋"/>
          <w:spacing w:val="2"/>
          <w:sz w:val="32"/>
          <w:szCs w:val="32"/>
        </w:rPr>
        <w:t>表彰加0.8分，省级及以上表彰加1分。</w:t>
      </w:r>
    </w:p>
    <w:p w14:paraId="0B3FEA1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31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（3）其他加分项目中的部分表彰加分细则</w:t>
      </w:r>
    </w:p>
    <w:p w14:paraId="36CF2CE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68" w:firstLine="420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none"/>
          <w:shd w:val="clear" w:color="FFFFFF" w:fill="D9D9D9"/>
          <w:lang w:eastAsia="zh-CN"/>
        </w:rPr>
      </w:pPr>
      <w:r>
        <w:rPr>
          <w:rFonts w:hint="eastAsia" w:ascii="仿宋" w:hAnsi="仿宋" w:eastAsia="仿宋" w:cs="仿宋"/>
          <w:spacing w:val="10"/>
          <w:sz w:val="32"/>
          <w:szCs w:val="32"/>
          <w:highlight w:val="none"/>
          <w:shd w:val="clear" w:color="auto" w:fill="auto"/>
        </w:rPr>
        <w:t>集体表彰中，如获得校先进班集体</w:t>
      </w:r>
      <w:r>
        <w:rPr>
          <w:rFonts w:hint="eastAsia" w:ascii="仿宋" w:hAnsi="仿宋" w:eastAsia="仿宋" w:cs="仿宋"/>
          <w:spacing w:val="10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eastAsia" w:ascii="仿宋" w:hAnsi="仿宋" w:eastAsia="仿宋" w:cs="仿宋"/>
          <w:spacing w:val="10"/>
          <w:sz w:val="32"/>
          <w:szCs w:val="32"/>
          <w:highlight w:val="none"/>
          <w:shd w:val="clear" w:color="auto" w:fill="auto"/>
          <w:lang w:val="en-US" w:eastAsia="zh-CN"/>
        </w:rPr>
        <w:t>校</w:t>
      </w:r>
      <w:r>
        <w:rPr>
          <w:rFonts w:hint="eastAsia" w:ascii="仿宋" w:hAnsi="仿宋" w:eastAsia="仿宋" w:cs="仿宋"/>
          <w:spacing w:val="10"/>
          <w:sz w:val="32"/>
          <w:szCs w:val="32"/>
          <w:highlight w:val="none"/>
          <w:shd w:val="clear" w:color="auto" w:fill="auto"/>
        </w:rPr>
        <w:t>活力团支部</w:t>
      </w:r>
      <w:r>
        <w:rPr>
          <w:rFonts w:hint="eastAsia" w:ascii="仿宋" w:hAnsi="仿宋" w:eastAsia="仿宋" w:cs="仿宋"/>
          <w:spacing w:val="10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eastAsia" w:ascii="仿宋" w:hAnsi="仿宋" w:eastAsia="仿宋" w:cs="仿宋"/>
          <w:spacing w:val="10"/>
          <w:sz w:val="32"/>
          <w:szCs w:val="32"/>
          <w:highlight w:val="none"/>
          <w:shd w:val="clear" w:color="auto" w:fill="auto"/>
          <w:lang w:val="en-US" w:eastAsia="zh-CN"/>
        </w:rPr>
        <w:t>校五四青年先锋团体奖、校优秀团日活动、校五四青年先锋团体提名奖</w:t>
      </w:r>
      <w:r>
        <w:rPr>
          <w:rFonts w:hint="eastAsia" w:ascii="仿宋" w:hAnsi="仿宋" w:eastAsia="仿宋" w:cs="仿宋"/>
          <w:spacing w:val="10"/>
          <w:sz w:val="32"/>
          <w:szCs w:val="32"/>
          <w:highlight w:val="none"/>
          <w:shd w:val="clear" w:color="auto" w:fill="auto"/>
        </w:rPr>
        <w:t>，班级每人</w:t>
      </w:r>
      <w:r>
        <w:rPr>
          <w:rFonts w:hint="eastAsia" w:ascii="仿宋" w:hAnsi="仿宋" w:eastAsia="仿宋" w:cs="仿宋"/>
          <w:spacing w:val="3"/>
          <w:sz w:val="32"/>
          <w:szCs w:val="32"/>
          <w:highlight w:val="none"/>
          <w:shd w:val="clear" w:color="auto" w:fill="auto"/>
        </w:rPr>
        <w:t>加0.2分；若获得省优秀团支部、省先进班集体，班级每人加0.4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</w:rPr>
        <w:t>分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  <w:lang w:eastAsia="zh-CN"/>
        </w:rPr>
        <w:t>。</w:t>
      </w:r>
    </w:p>
    <w:p w14:paraId="7D5C1B7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560" w:lineRule="exact"/>
        <w:ind w:right="71" w:firstLine="420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spacing w:val="9"/>
          <w:sz w:val="32"/>
          <w:szCs w:val="32"/>
        </w:rPr>
        <w:t>集体表彰中，如获得校级宿舍“洁齐美”荣誉的宿舍，宿舍</w:t>
      </w:r>
      <w:r>
        <w:rPr>
          <w:rFonts w:hint="eastAsia" w:ascii="仿宋" w:hAnsi="仿宋" w:eastAsia="仿宋" w:cs="仿宋"/>
          <w:sz w:val="32"/>
          <w:szCs w:val="32"/>
        </w:rPr>
        <w:t>每位同学均加分，一等奖0.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</w:rPr>
        <w:t>4分，二等奖0.3分，三等奖0.2分，</w:t>
      </w:r>
      <w:r>
        <w:rPr>
          <w:rFonts w:hint="eastAsia" w:ascii="仿宋" w:hAnsi="仿宋" w:eastAsia="仿宋" w:cs="仿宋"/>
          <w:spacing w:val="-3"/>
          <w:sz w:val="32"/>
          <w:szCs w:val="32"/>
          <w:highlight w:val="none"/>
          <w:shd w:val="clear" w:color="auto" w:fill="auto"/>
        </w:rPr>
        <w:t>优胜奖0.1分。</w:t>
      </w:r>
    </w:p>
    <w:p w14:paraId="2B1F92E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68" w:firstLine="420"/>
        <w:jc w:val="both"/>
        <w:textAlignment w:val="baseline"/>
        <w:rPr>
          <w:rFonts w:hint="eastAsia" w:ascii="仿宋" w:hAnsi="仿宋" w:eastAsia="仿宋" w:cs="仿宋"/>
          <w:spacing w:val="9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spacing w:val="9"/>
          <w:sz w:val="32"/>
          <w:szCs w:val="32"/>
          <w:highlight w:val="none"/>
          <w:shd w:val="clear" w:color="auto" w:fill="auto"/>
        </w:rPr>
        <w:t>个人受表彰，如：校五四先锋、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  <w:shd w:val="clear" w:color="auto" w:fill="auto"/>
          <w:lang w:eastAsia="zh-CN"/>
        </w:rPr>
        <w:t>校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  <w:shd w:val="clear" w:color="auto" w:fill="auto"/>
        </w:rPr>
        <w:t>优秀团员、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  <w:shd w:val="clear" w:color="auto" w:fill="auto"/>
          <w:lang w:eastAsia="zh-CN"/>
        </w:rPr>
        <w:t>校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  <w:shd w:val="clear" w:color="auto" w:fill="auto"/>
        </w:rPr>
        <w:t>优秀学生干部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  <w:shd w:val="clear" w:color="auto" w:fill="auto"/>
          <w:lang w:eastAsia="zh-CN"/>
        </w:rPr>
        <w:t>、校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  <w:shd w:val="clear" w:color="auto" w:fill="auto"/>
          <w:lang w:val="en-US" w:eastAsia="zh-CN"/>
        </w:rPr>
        <w:t>青马优秀学员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  <w:shd w:val="clear" w:color="auto" w:fill="auto"/>
        </w:rPr>
        <w:t>加1分；校五四青年提名奖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  <w:shd w:val="clear" w:color="auto" w:fill="auto"/>
        </w:rPr>
        <w:t>加0.5分。凭借综合测评结果申请获得的“三好学生”“优秀学生干部”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  <w:shd w:val="clear" w:color="auto" w:fill="auto"/>
          <w:lang w:eastAsia="zh-CN"/>
        </w:rPr>
        <w:t>以及各类奖学金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  <w:shd w:val="clear" w:color="auto" w:fill="auto"/>
        </w:rPr>
        <w:t>不参与测评计分。</w:t>
      </w:r>
    </w:p>
    <w:p w14:paraId="6C5E87B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25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spacing w:val="7"/>
          <w:sz w:val="32"/>
          <w:szCs w:val="32"/>
          <w:highlight w:val="none"/>
          <w:shd w:val="clear" w:color="auto" w:fill="auto"/>
        </w:rPr>
        <w:t>二、基础性素质得分</w:t>
      </w:r>
    </w:p>
    <w:p w14:paraId="3D683E9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560" w:lineRule="exact"/>
        <w:ind w:left="430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spacing w:val="4"/>
          <w:sz w:val="32"/>
          <w:szCs w:val="32"/>
          <w:highlight w:val="none"/>
          <w:shd w:val="clear" w:color="auto" w:fill="auto"/>
        </w:rPr>
        <w:t>（一）智育素质测评分（满分100分）</w:t>
      </w:r>
    </w:p>
    <w:p w14:paraId="2618EC9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2" w:line="560" w:lineRule="exact"/>
        <w:ind w:left="425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spacing w:val="10"/>
          <w:sz w:val="32"/>
          <w:szCs w:val="32"/>
          <w:highlight w:val="none"/>
          <w:shd w:val="clear" w:color="auto" w:fill="auto"/>
        </w:rPr>
        <w:t>智育素质测评分＝A＋B</w:t>
      </w:r>
    </w:p>
    <w:p w14:paraId="3343333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1" w:line="560" w:lineRule="exact"/>
        <w:ind w:left="5" w:right="69" w:firstLine="411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spacing w:val="3"/>
          <w:sz w:val="32"/>
          <w:szCs w:val="32"/>
          <w:highlight w:val="none"/>
          <w:shd w:val="clear" w:color="auto" w:fill="auto"/>
        </w:rPr>
        <w:t>A＝[∑必修课和专业选修课成绩×课程学分]/∑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</w:rPr>
        <w:t>学分(∑学分不少于15学分）</w:t>
      </w:r>
    </w:p>
    <w:p w14:paraId="5B023FF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68" w:firstLine="420"/>
        <w:jc w:val="both"/>
        <w:textAlignment w:val="baseline"/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pacing w:val="6"/>
          <w:sz w:val="32"/>
          <w:szCs w:val="32"/>
          <w:highlight w:val="none"/>
          <w:shd w:val="clear" w:color="auto" w:fill="auto"/>
        </w:rPr>
        <w:t>B＝测评学年获得的任意选修课学分、辅修专业学分</w:t>
      </w:r>
      <w:r>
        <w:rPr>
          <w:rFonts w:hint="eastAsia" w:ascii="仿宋" w:hAnsi="仿宋" w:eastAsia="仿宋" w:cs="仿宋"/>
          <w:spacing w:val="5"/>
          <w:sz w:val="32"/>
          <w:szCs w:val="32"/>
          <w:highlight w:val="none"/>
          <w:shd w:val="clear" w:color="auto" w:fill="auto"/>
        </w:rPr>
        <w:t>、自学考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auto"/>
        </w:rPr>
        <w:t>试等取得学分（每门按1.0分计）之和，其中任意选修课加分不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  <w:shd w:val="clear" w:color="auto" w:fill="auto"/>
        </w:rPr>
        <w:t>超过2分，其余课程总分不超过4分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  <w:shd w:val="clear" w:color="auto" w:fill="auto"/>
          <w:lang w:val="en-US" w:eastAsia="zh-CN"/>
        </w:rPr>
        <w:t>微专业按照辅修专业学分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auto"/>
          <w:lang w:val="en-US" w:eastAsia="zh-CN"/>
        </w:rPr>
        <w:t>加分。</w:t>
      </w:r>
    </w:p>
    <w:p w14:paraId="67AA662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560" w:lineRule="exact"/>
        <w:ind w:left="12" w:right="68" w:firstLine="419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B的补充说明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：（</w:t>
      </w:r>
      <w:r>
        <w:rPr>
          <w:rFonts w:hint="eastAsia" w:ascii="仿宋" w:hAnsi="仿宋" w:eastAsia="仿宋" w:cs="仿宋"/>
          <w:spacing w:val="8"/>
          <w:sz w:val="32"/>
          <w:szCs w:val="32"/>
        </w:rPr>
        <w:t>1）公选课（包括讲座类公选课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）：</w:t>
      </w:r>
      <w:r>
        <w:rPr>
          <w:rFonts w:hint="eastAsia" w:ascii="仿宋" w:hAnsi="仿宋" w:eastAsia="仿宋" w:cs="仿宋"/>
          <w:spacing w:val="8"/>
          <w:sz w:val="32"/>
          <w:szCs w:val="32"/>
        </w:rPr>
        <w:t>每门按</w:t>
      </w:r>
      <w:r>
        <w:rPr>
          <w:rFonts w:hint="eastAsia" w:ascii="仿宋" w:hAnsi="仿宋" w:eastAsia="仿宋" w:cs="仿宋"/>
          <w:sz w:val="32"/>
          <w:szCs w:val="32"/>
        </w:rPr>
        <w:t>1.0分计，公选课累加总分≤2.0分。</w:t>
      </w:r>
    </w:p>
    <w:p w14:paraId="55EFE78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" w:line="560" w:lineRule="exact"/>
        <w:ind w:left="5" w:right="70" w:firstLine="427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（2）辅修类课程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：（</w:t>
      </w:r>
      <w:r>
        <w:rPr>
          <w:rFonts w:hint="eastAsia" w:ascii="仿宋" w:hAnsi="仿宋" w:eastAsia="仿宋" w:cs="仿宋"/>
          <w:spacing w:val="8"/>
          <w:sz w:val="32"/>
          <w:szCs w:val="32"/>
        </w:rPr>
        <w:t>a）日语、西班牙语辅修合格，一学期</w:t>
      </w:r>
      <w:r>
        <w:rPr>
          <w:rFonts w:hint="eastAsia" w:ascii="仿宋" w:hAnsi="仿宋" w:eastAsia="仿宋" w:cs="仿宋"/>
          <w:spacing w:val="4"/>
          <w:sz w:val="32"/>
          <w:szCs w:val="32"/>
        </w:rPr>
        <w:t>为0.5分，两学期为1.0分</w:t>
      </w:r>
      <w:r>
        <w:rPr>
          <w:rFonts w:hint="eastAsia" w:ascii="仿宋" w:hAnsi="仿宋" w:eastAsia="仿宋" w:cs="仿宋"/>
          <w:sz w:val="32"/>
          <w:szCs w:val="32"/>
        </w:rPr>
        <w:t>；（</w:t>
      </w:r>
      <w:r>
        <w:rPr>
          <w:rFonts w:hint="eastAsia" w:ascii="仿宋" w:hAnsi="仿宋" w:eastAsia="仿宋" w:cs="仿宋"/>
          <w:spacing w:val="4"/>
          <w:sz w:val="32"/>
          <w:szCs w:val="32"/>
        </w:rPr>
        <w:t>b）法律辅修，一学期成绩合格为</w:t>
      </w:r>
      <w:r>
        <w:rPr>
          <w:rFonts w:hint="eastAsia" w:ascii="仿宋" w:hAnsi="仿宋" w:eastAsia="仿宋" w:cs="仿宋"/>
          <w:spacing w:val="1"/>
          <w:sz w:val="32"/>
          <w:szCs w:val="32"/>
        </w:rPr>
        <w:t>1.4分，两学期合格为2.8分。辅修类课程累加总分≤3.0分。</w:t>
      </w:r>
    </w:p>
    <w:p w14:paraId="1A8079D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1" w:line="560" w:lineRule="exact"/>
        <w:ind w:left="433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（4）“B”类的累加总分≤6.0分。</w:t>
      </w:r>
    </w:p>
    <w:p w14:paraId="44C2385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560" w:lineRule="exact"/>
        <w:ind w:left="3" w:right="70" w:firstLine="423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pacing w:val="3"/>
          <w:sz w:val="32"/>
          <w:szCs w:val="32"/>
        </w:rPr>
        <w:t>.优、良、中、及格、不及格分别按95、85、75、60、40分计算。</w:t>
      </w:r>
    </w:p>
    <w:p w14:paraId="547760C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4" w:line="560" w:lineRule="exact"/>
        <w:ind w:left="3" w:right="68" w:firstLine="422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.不及格课程以不及格成绩计，经补考或同一学</w:t>
      </w:r>
      <w:r>
        <w:rPr>
          <w:rFonts w:hint="eastAsia" w:ascii="仿宋" w:hAnsi="仿宋" w:eastAsia="仿宋" w:cs="仿宋"/>
          <w:spacing w:val="9"/>
          <w:sz w:val="32"/>
          <w:szCs w:val="32"/>
        </w:rPr>
        <w:t>年内重修通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过的，仍按考试原始成绩记，经批准缓考课程的成绩以缓考成绩</w:t>
      </w:r>
      <w:r>
        <w:rPr>
          <w:rFonts w:hint="eastAsia" w:ascii="仿宋" w:hAnsi="仿宋" w:eastAsia="仿宋" w:cs="仿宋"/>
          <w:spacing w:val="9"/>
          <w:sz w:val="32"/>
          <w:szCs w:val="32"/>
        </w:rPr>
        <w:t>计，跨学年重修的课程按照重修所获成绩记</w:t>
      </w:r>
      <w:r>
        <w:rPr>
          <w:rFonts w:hint="eastAsia" w:ascii="仿宋" w:hAnsi="仿宋" w:eastAsia="仿宋" w:cs="仿宋"/>
          <w:spacing w:val="9"/>
          <w:sz w:val="32"/>
          <w:szCs w:val="32"/>
          <w:lang w:eastAsia="zh-CN"/>
        </w:rPr>
        <w:t>。</w:t>
      </w:r>
    </w:p>
    <w:p w14:paraId="710F66C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" w:line="560" w:lineRule="exact"/>
        <w:ind w:left="433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4"/>
          <w:sz w:val="32"/>
          <w:szCs w:val="32"/>
        </w:rPr>
        <w:t>（三）体育素质测评（满分100分）</w:t>
      </w:r>
    </w:p>
    <w:p w14:paraId="3136F88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560" w:lineRule="exact"/>
        <w:ind w:left="7" w:right="68" w:firstLine="425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3"/>
          <w:sz w:val="32"/>
          <w:szCs w:val="32"/>
        </w:rPr>
        <w:t>1.非体育专业学生体育素质测评分＝体育课程分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×75%＋课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外俱乐部活动测评分。</w:t>
      </w:r>
    </w:p>
    <w:p w14:paraId="2971AED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60" w:lineRule="exact"/>
        <w:ind w:firstLine="424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开设体育课程的学年，体育课程分为两学期体育课成绩的平均，不开设体育课的学年，体育课程分依据学生体质健康标准等</w:t>
      </w:r>
      <w:r>
        <w:rPr>
          <w:rFonts w:hint="eastAsia" w:ascii="仿宋" w:hAnsi="仿宋" w:eastAsia="仿宋" w:cs="仿宋"/>
          <w:sz w:val="32"/>
          <w:szCs w:val="32"/>
        </w:rPr>
        <w:t>级计分（优秀、良好、中、及格、不及格,分别按95、85、75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、60、</w:t>
      </w:r>
      <w:r>
        <w:rPr>
          <w:rFonts w:hint="eastAsia" w:ascii="仿宋" w:hAnsi="仿宋" w:eastAsia="仿宋" w:cs="仿宋"/>
          <w:spacing w:val="8"/>
          <w:sz w:val="32"/>
          <w:szCs w:val="32"/>
        </w:rPr>
        <w:t>40分计</w:t>
      </w:r>
      <w:r>
        <w:rPr>
          <w:rFonts w:hint="eastAsia" w:ascii="仿宋" w:hAnsi="仿宋" w:eastAsia="仿宋" w:cs="仿宋"/>
          <w:spacing w:val="4"/>
          <w:sz w:val="32"/>
          <w:szCs w:val="32"/>
        </w:rPr>
        <w:t>），</w:t>
      </w:r>
      <w:r>
        <w:rPr>
          <w:rFonts w:hint="eastAsia" w:ascii="仿宋" w:hAnsi="仿宋" w:eastAsia="仿宋" w:cs="仿宋"/>
          <w:spacing w:val="8"/>
          <w:sz w:val="32"/>
          <w:szCs w:val="32"/>
        </w:rPr>
        <w:t>经获准参加体育保健课的同学（因健康等原因不宜参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加激烈运动者</w:t>
      </w:r>
      <w:r>
        <w:rPr>
          <w:rFonts w:hint="eastAsia" w:ascii="仿宋" w:hAnsi="仿宋" w:eastAsia="仿宋" w:cs="仿宋"/>
          <w:spacing w:val="17"/>
          <w:sz w:val="32"/>
          <w:szCs w:val="32"/>
        </w:rPr>
        <w:t>），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基础分按60分计算。</w:t>
      </w:r>
    </w:p>
    <w:p w14:paraId="0CD88AC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560" w:lineRule="exact"/>
        <w:ind w:left="3" w:right="68" w:firstLine="419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0"/>
          <w:sz w:val="32"/>
          <w:szCs w:val="32"/>
        </w:rPr>
        <w:t>补充说明：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关于不开设体育课程学年的体育课</w:t>
      </w:r>
      <w:r>
        <w:rPr>
          <w:rFonts w:hint="eastAsia" w:ascii="仿宋" w:hAnsi="仿宋" w:eastAsia="仿宋" w:cs="仿宋"/>
          <w:spacing w:val="9"/>
          <w:sz w:val="32"/>
          <w:szCs w:val="32"/>
        </w:rPr>
        <w:t>程分依据学生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体侧标准等级计分，但常州大学体育学院如果公布原始分数则按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原始分数计算。</w:t>
      </w:r>
    </w:p>
    <w:p w14:paraId="59000CF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560" w:lineRule="exact"/>
        <w:ind w:right="3651" w:firstLine="671" w:firstLineChars="200"/>
        <w:jc w:val="both"/>
        <w:textAlignment w:val="baseline"/>
        <w:rPr>
          <w:rFonts w:hint="eastAsia" w:ascii="仿宋" w:hAnsi="仿宋" w:eastAsia="仿宋" w:cs="仿宋"/>
          <w:b/>
          <w:bCs/>
          <w:spacing w:val="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7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pacing w:val="7"/>
          <w:sz w:val="32"/>
          <w:szCs w:val="32"/>
        </w:rPr>
        <w:t>、发展性素质加</w:t>
      </w:r>
      <w:r>
        <w:rPr>
          <w:rFonts w:hint="eastAsia" w:ascii="仿宋" w:hAnsi="仿宋" w:eastAsia="仿宋" w:cs="仿宋"/>
          <w:b/>
          <w:bCs/>
          <w:spacing w:val="7"/>
          <w:sz w:val="32"/>
          <w:szCs w:val="32"/>
          <w:lang w:val="en-US" w:eastAsia="zh-CN"/>
        </w:rPr>
        <w:t>分</w:t>
      </w:r>
    </w:p>
    <w:p w14:paraId="6CDA2D8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560" w:lineRule="exact"/>
        <w:ind w:right="3651" w:firstLine="659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4"/>
          <w:sz w:val="32"/>
          <w:szCs w:val="32"/>
        </w:rPr>
        <w:t>补充说明：</w:t>
      </w:r>
    </w:p>
    <w:p w14:paraId="7F88448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60" w:lineRule="exact"/>
        <w:ind w:right="69" w:firstLine="672" w:firstLineChars="200"/>
        <w:jc w:val="both"/>
        <w:textAlignment w:val="baseline"/>
        <w:rPr>
          <w:rFonts w:hint="eastAsia"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1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pacing w:val="8"/>
          <w:sz w:val="32"/>
          <w:szCs w:val="32"/>
        </w:rPr>
        <w:t>个人获荣誉称号，一律不在发展性素质得分中加分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。</w:t>
      </w:r>
    </w:p>
    <w:p w14:paraId="094CC9F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560" w:lineRule="exact"/>
        <w:ind w:right="2" w:firstLine="656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2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pacing w:val="4"/>
          <w:sz w:val="32"/>
          <w:szCs w:val="32"/>
        </w:rPr>
        <w:t>此细则加分的“各类学习、创新创业等竞赛”指由学校</w:t>
      </w:r>
      <w:r>
        <w:rPr>
          <w:rFonts w:hint="eastAsia" w:ascii="仿宋" w:hAnsi="仿宋" w:eastAsia="仿宋" w:cs="仿宋"/>
          <w:spacing w:val="9"/>
          <w:sz w:val="32"/>
          <w:szCs w:val="32"/>
        </w:rPr>
        <w:t>统一组织学生参加的或者经学院认定的各类竞赛；“各类文体活动”指由学校统一组织学生参加的或者经学院认定的各类文体活</w:t>
      </w:r>
      <w:r>
        <w:rPr>
          <w:rFonts w:hint="eastAsia" w:ascii="仿宋" w:hAnsi="仿宋" w:eastAsia="仿宋" w:cs="仿宋"/>
          <w:sz w:val="32"/>
          <w:szCs w:val="32"/>
        </w:rPr>
        <w:t>动。</w:t>
      </w:r>
    </w:p>
    <w:p w14:paraId="08FEF02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0" w:line="560" w:lineRule="exact"/>
        <w:ind w:right="2" w:firstLine="664" w:firstLineChars="200"/>
        <w:jc w:val="both"/>
        <w:textAlignment w:val="baseline"/>
        <w:rPr>
          <w:rFonts w:hint="eastAsia" w:ascii="仿宋" w:hAnsi="仿宋" w:eastAsia="仿宋" w:cs="仿宋"/>
          <w:spacing w:val="6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pacing w:val="6"/>
          <w:sz w:val="32"/>
          <w:szCs w:val="32"/>
          <w:highlight w:val="none"/>
          <w:shd w:val="clear" w:color="auto" w:fill="auto"/>
        </w:rPr>
        <w:t>3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  <w:shd w:val="clear" w:color="auto" w:fill="auto"/>
          <w:lang w:eastAsia="zh-CN"/>
        </w:rPr>
        <w:t>.对以常州大学及其职能部门、二级学院为署名单位的各类学科竞赛、创新创业、文体类竞赛的个人或集体获奖予以认定，其余获奖均不予认定。</w:t>
      </w:r>
      <w:r>
        <w:rPr>
          <w:rFonts w:hint="eastAsia" w:ascii="仿宋" w:hAnsi="仿宋" w:eastAsia="仿宋" w:cs="仿宋"/>
          <w:color w:val="000000" w:themeColor="text1"/>
          <w:spacing w:val="6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竞赛依据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《常州大学大学生创新创业竞赛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I级项目汇总表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》，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不在上述表内的竞赛一律视为文体活动。</w:t>
      </w:r>
    </w:p>
    <w:p w14:paraId="1CC88A8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0" w:line="560" w:lineRule="exact"/>
        <w:ind w:right="2" w:firstLine="430"/>
        <w:jc w:val="both"/>
        <w:textAlignment w:val="baseline"/>
        <w:rPr>
          <w:rFonts w:hint="eastAsia" w:ascii="仿宋" w:hAnsi="仿宋" w:eastAsia="仿宋" w:cs="仿宋"/>
          <w:spacing w:val="9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pacing w:val="9"/>
          <w:sz w:val="32"/>
          <w:szCs w:val="32"/>
          <w:highlight w:val="none"/>
          <w:shd w:val="clear" w:color="auto" w:fill="auto"/>
          <w:lang w:val="en-US" w:eastAsia="zh-CN"/>
        </w:rPr>
        <w:t>4.参加学校或学院组织的各类学术活动、党团日活动等未有竞赛性质的活动不属于加分范畴。</w:t>
      </w:r>
    </w:p>
    <w:p w14:paraId="3BCE2B3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0" w:line="560" w:lineRule="exact"/>
        <w:ind w:right="2" w:firstLine="430"/>
        <w:jc w:val="both"/>
        <w:textAlignment w:val="baseline"/>
        <w:rPr>
          <w:rFonts w:hint="eastAsia" w:ascii="仿宋" w:hAnsi="仿宋" w:eastAsia="仿宋" w:cs="仿宋"/>
          <w:spacing w:val="9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pacing w:val="9"/>
          <w:sz w:val="32"/>
          <w:szCs w:val="32"/>
          <w:highlight w:val="none"/>
          <w:shd w:val="clear" w:color="auto" w:fill="auto"/>
          <w:lang w:val="en-US" w:eastAsia="zh-CN"/>
        </w:rPr>
        <w:t>5.由课程产生的表彰不加分。</w:t>
      </w:r>
    </w:p>
    <w:p w14:paraId="426F594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0" w:line="560" w:lineRule="exact"/>
        <w:ind w:right="2" w:firstLine="430"/>
        <w:jc w:val="both"/>
        <w:textAlignment w:val="baseline"/>
        <w:rPr>
          <w:rFonts w:hint="eastAsia" w:ascii="仿宋" w:hAnsi="仿宋" w:eastAsia="仿宋" w:cs="仿宋"/>
          <w:spacing w:val="9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pacing w:val="9"/>
          <w:sz w:val="32"/>
          <w:szCs w:val="32"/>
          <w:highlight w:val="none"/>
          <w:shd w:val="clear" w:color="auto" w:fill="auto"/>
          <w:lang w:val="en-US" w:eastAsia="zh-CN"/>
        </w:rPr>
        <w:t>6.学生通过常州大学报名参加出国（境）交流学习（含线上项目），加1分，由常州大学国际交流处提供名单，学生出具结业证书等证明材料。</w:t>
      </w:r>
    </w:p>
    <w:p w14:paraId="68FC9FC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1" w:line="560" w:lineRule="exact"/>
        <w:ind w:left="426" w:right="2949" w:firstLine="3"/>
        <w:jc w:val="both"/>
        <w:textAlignment w:val="baseline"/>
        <w:rPr>
          <w:rFonts w:hint="eastAsia" w:ascii="仿宋" w:hAnsi="仿宋" w:eastAsia="仿宋" w:cs="仿宋"/>
          <w:b/>
          <w:bCs/>
          <w:spacing w:val="6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6"/>
          <w:sz w:val="32"/>
          <w:szCs w:val="32"/>
        </w:rPr>
        <w:t>（一）创新创业与科研能力</w:t>
      </w:r>
    </w:p>
    <w:p w14:paraId="2476D49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1" w:line="560" w:lineRule="exact"/>
        <w:ind w:right="2949" w:firstLine="643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创新创业能力加分</w:t>
      </w:r>
    </w:p>
    <w:p w14:paraId="102B5BF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" w:line="560" w:lineRule="exact"/>
        <w:ind w:firstLine="420"/>
        <w:jc w:val="both"/>
        <w:textAlignment w:val="baseline"/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参加各类学科竞赛、创新创业等竞赛，以获奖证书或文件获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得时间为依据，加分参考下表。</w:t>
      </w:r>
    </w:p>
    <w:p w14:paraId="670A62E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560" w:lineRule="exact"/>
        <w:jc w:val="center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highlight w:val="none"/>
        </w:rPr>
        <w:t>竞赛奖励分一览表</w:t>
      </w:r>
    </w:p>
    <w:tbl>
      <w:tblPr>
        <w:tblStyle w:val="8"/>
        <w:tblW w:w="783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1564"/>
        <w:gridCol w:w="1564"/>
        <w:gridCol w:w="1564"/>
        <w:gridCol w:w="1574"/>
      </w:tblGrid>
      <w:tr w14:paraId="45F2E0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1571" w:type="dxa"/>
            <w:tcBorders>
              <w:tl2br w:val="nil"/>
              <w:tr2bl w:val="nil"/>
            </w:tcBorders>
            <w:vAlign w:val="top"/>
          </w:tcPr>
          <w:p w14:paraId="4775159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560" w:lineRule="exact"/>
              <w:ind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635</wp:posOffset>
                  </wp:positionV>
                  <wp:extent cx="876935" cy="843280"/>
                  <wp:effectExtent l="0" t="0" r="6985" b="10160"/>
                  <wp:wrapNone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935" cy="843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sz w:val="32"/>
                <w:szCs w:val="32"/>
                <w:lang w:eastAsia="zh-CN"/>
              </w:rPr>
              <w:t>等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sz w:val="32"/>
                <w:szCs w:val="32"/>
              </w:rPr>
              <w:t>级</w:t>
            </w:r>
          </w:p>
          <w:p w14:paraId="624F05C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560" w:lineRule="exact"/>
              <w:ind w:left="119" w:firstLine="325" w:firstLineChars="1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sz w:val="32"/>
                <w:szCs w:val="32"/>
              </w:rPr>
              <w:t>级别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top"/>
          </w:tcPr>
          <w:p w14:paraId="6D6F5E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FF016E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560" w:lineRule="exact"/>
              <w:ind w:firstLine="329" w:firstLineChars="1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  <w:sz w:val="32"/>
                <w:szCs w:val="32"/>
              </w:rPr>
              <w:t>一等奖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top"/>
          </w:tcPr>
          <w:p w14:paraId="38E1DA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3B403A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560" w:lineRule="exact"/>
              <w:ind w:firstLine="329" w:firstLineChars="1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  <w:sz w:val="32"/>
                <w:szCs w:val="32"/>
              </w:rPr>
              <w:t>二等奖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top"/>
          </w:tcPr>
          <w:p w14:paraId="58F8BD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8AB2AE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560" w:lineRule="exact"/>
              <w:ind w:firstLine="331" w:firstLineChars="1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32"/>
                <w:szCs w:val="32"/>
              </w:rPr>
              <w:t>三等奖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vAlign w:val="top"/>
          </w:tcPr>
          <w:p w14:paraId="37023F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966783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560" w:lineRule="exact"/>
              <w:ind w:firstLine="331" w:firstLineChars="1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32"/>
                <w:szCs w:val="32"/>
              </w:rPr>
              <w:t>优秀奖</w:t>
            </w:r>
          </w:p>
        </w:tc>
      </w:tr>
      <w:tr w14:paraId="3EE89F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571" w:type="dxa"/>
            <w:tcBorders>
              <w:tl2br w:val="nil"/>
              <w:tr2bl w:val="nil"/>
            </w:tcBorders>
            <w:vAlign w:val="top"/>
          </w:tcPr>
          <w:p w14:paraId="4BA794D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32"/>
                <w:szCs w:val="32"/>
              </w:rPr>
              <w:t>国家级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top"/>
          </w:tcPr>
          <w:p w14:paraId="1185E71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560" w:lineRule="exact"/>
              <w:ind w:left="435" w:firstLine="319" w:firstLineChars="1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32"/>
                <w:szCs w:val="32"/>
              </w:rPr>
              <w:t>5.0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top"/>
          </w:tcPr>
          <w:p w14:paraId="7DBC0E2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560" w:lineRule="exact"/>
              <w:ind w:left="431" w:firstLine="321" w:firstLineChars="1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4.0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top"/>
          </w:tcPr>
          <w:p w14:paraId="37971B8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560" w:lineRule="exact"/>
              <w:ind w:left="438" w:firstLine="319" w:firstLineChars="1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32"/>
                <w:szCs w:val="32"/>
              </w:rPr>
              <w:t>3.0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vAlign w:val="top"/>
          </w:tcPr>
          <w:p w14:paraId="0733F86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560" w:lineRule="exact"/>
              <w:ind w:left="437" w:firstLine="321" w:firstLineChars="1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2.2</w:t>
            </w:r>
          </w:p>
        </w:tc>
      </w:tr>
      <w:tr w14:paraId="32C3C9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571" w:type="dxa"/>
            <w:tcBorders>
              <w:tl2br w:val="nil"/>
              <w:tr2bl w:val="nil"/>
            </w:tcBorders>
            <w:vAlign w:val="top"/>
          </w:tcPr>
          <w:p w14:paraId="676586B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</w:rPr>
              <w:t>省级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top"/>
          </w:tcPr>
          <w:p w14:paraId="1238872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560" w:lineRule="exact"/>
              <w:ind w:left="435" w:firstLine="319" w:firstLineChars="1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32"/>
                <w:szCs w:val="32"/>
              </w:rPr>
              <w:t>3.0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top"/>
          </w:tcPr>
          <w:p w14:paraId="1EAB122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560" w:lineRule="exact"/>
              <w:ind w:left="435" w:firstLine="319" w:firstLineChars="1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32"/>
                <w:szCs w:val="32"/>
              </w:rPr>
              <w:t>2.6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top"/>
          </w:tcPr>
          <w:p w14:paraId="7F088F3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560" w:lineRule="exact"/>
              <w:ind w:left="436" w:firstLine="319" w:firstLineChars="1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32"/>
                <w:szCs w:val="32"/>
              </w:rPr>
              <w:t>2.2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vAlign w:val="top"/>
          </w:tcPr>
          <w:p w14:paraId="297F368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560" w:lineRule="exact"/>
              <w:ind w:left="450" w:firstLine="313" w:firstLineChars="1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</w:rPr>
              <w:t>1.4</w:t>
            </w:r>
          </w:p>
        </w:tc>
      </w:tr>
      <w:tr w14:paraId="5F82B6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571" w:type="dxa"/>
            <w:tcBorders>
              <w:tl2br w:val="nil"/>
              <w:tr2bl w:val="nil"/>
            </w:tcBorders>
            <w:vAlign w:val="top"/>
          </w:tcPr>
          <w:p w14:paraId="4767271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32"/>
                <w:szCs w:val="32"/>
              </w:rPr>
              <w:t>市、校级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top"/>
          </w:tcPr>
          <w:p w14:paraId="3CBE7B3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560" w:lineRule="exact"/>
              <w:ind w:left="447" w:firstLine="311" w:firstLineChars="1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32"/>
                <w:szCs w:val="32"/>
              </w:rPr>
              <w:t>1.8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top"/>
          </w:tcPr>
          <w:p w14:paraId="5F86700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560" w:lineRule="exact"/>
              <w:ind w:left="448" w:firstLine="311" w:firstLineChars="1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32"/>
                <w:szCs w:val="32"/>
              </w:rPr>
              <w:t>1.4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top"/>
          </w:tcPr>
          <w:p w14:paraId="1725848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560" w:lineRule="exact"/>
              <w:ind w:left="449" w:firstLine="311" w:firstLineChars="1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32"/>
                <w:szCs w:val="32"/>
              </w:rPr>
              <w:t>1.2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vAlign w:val="top"/>
          </w:tcPr>
          <w:p w14:paraId="5588FB2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8" w:line="560" w:lineRule="exact"/>
              <w:ind w:left="436" w:firstLine="321" w:firstLineChars="1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0.6</w:t>
            </w:r>
          </w:p>
        </w:tc>
      </w:tr>
      <w:tr w14:paraId="049D46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571" w:type="dxa"/>
            <w:tcBorders>
              <w:tl2br w:val="nil"/>
              <w:tr2bl w:val="nil"/>
            </w:tcBorders>
            <w:vAlign w:val="top"/>
          </w:tcPr>
          <w:p w14:paraId="74FF317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32"/>
                <w:szCs w:val="32"/>
              </w:rPr>
              <w:t>院级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top"/>
          </w:tcPr>
          <w:p w14:paraId="4044260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8" w:line="560" w:lineRule="exact"/>
              <w:ind w:left="447" w:firstLine="311" w:firstLineChars="1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32"/>
                <w:szCs w:val="32"/>
              </w:rPr>
              <w:t>1.2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top"/>
          </w:tcPr>
          <w:p w14:paraId="76EBA7C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560" w:lineRule="exact"/>
              <w:ind w:left="434" w:firstLine="319" w:firstLineChars="1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32"/>
                <w:szCs w:val="32"/>
              </w:rPr>
              <w:t>0.8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vAlign w:val="top"/>
          </w:tcPr>
          <w:p w14:paraId="0440919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560" w:lineRule="exact"/>
              <w:ind w:left="435" w:firstLine="319" w:firstLineChars="1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32"/>
                <w:szCs w:val="32"/>
              </w:rPr>
              <w:t>0.5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vAlign w:val="top"/>
          </w:tcPr>
          <w:p w14:paraId="6127EF0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560" w:lineRule="exact"/>
              <w:ind w:left="436" w:firstLine="321" w:firstLineChars="1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0.2</w:t>
            </w:r>
          </w:p>
        </w:tc>
      </w:tr>
    </w:tbl>
    <w:p w14:paraId="49A1965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line="560" w:lineRule="exact"/>
        <w:ind w:firstLine="420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auto"/>
        </w:rPr>
        <w:t>科技竞赛包括挑战杯（包含“大挑”“小挑”）、中国国际大学生创新大赛（原名“互联网+大学生创新创业大赛”）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auto"/>
        </w:rPr>
        <w:t>全国大学</w:t>
      </w:r>
      <w:r>
        <w:rPr>
          <w:rFonts w:hint="eastAsia" w:ascii="仿宋" w:hAnsi="仿宋" w:eastAsia="仿宋" w:cs="仿宋"/>
          <w:spacing w:val="10"/>
          <w:sz w:val="32"/>
          <w:szCs w:val="32"/>
          <w:highlight w:val="none"/>
          <w:shd w:val="clear" w:color="auto" w:fill="auto"/>
        </w:rPr>
        <w:t>生英语竞赛、数学竞赛、校创新基金、人文社科类作品大赛、及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  <w:shd w:val="clear" w:color="auto" w:fill="auto"/>
        </w:rPr>
        <w:t>其他专业性强的学科竞赛等，依据“竞赛奖励分一览表”进</w:t>
      </w:r>
      <w:r>
        <w:rPr>
          <w:rFonts w:hint="eastAsia" w:ascii="仿宋" w:hAnsi="仿宋" w:eastAsia="仿宋" w:cs="仿宋"/>
          <w:spacing w:val="4"/>
          <w:sz w:val="32"/>
          <w:szCs w:val="32"/>
          <w:highlight w:val="none"/>
          <w:shd w:val="clear" w:color="auto" w:fill="auto"/>
        </w:rPr>
        <w:t>行加分。</w:t>
      </w:r>
    </w:p>
    <w:p w14:paraId="0262D50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" w:line="560" w:lineRule="exact"/>
        <w:ind w:left="3" w:firstLine="415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spacing w:val="10"/>
          <w:sz w:val="32"/>
          <w:szCs w:val="32"/>
          <w:highlight w:val="none"/>
          <w:shd w:val="clear" w:color="auto" w:fill="auto"/>
        </w:rPr>
        <w:t>在“挑战杯”全国大学生课外学术科技作品竞赛、“挑战杯”中国大学生创业计划大赛、中国国际大学生创新大赛（原名“互联网+大学生创新创业大赛”）中，我院</w:t>
      </w:r>
      <w:r>
        <w:rPr>
          <w:rFonts w:hint="eastAsia" w:ascii="仿宋" w:hAnsi="仿宋" w:eastAsia="仿宋" w:cs="仿宋"/>
          <w:spacing w:val="10"/>
          <w:sz w:val="32"/>
          <w:szCs w:val="32"/>
          <w:highlight w:val="none"/>
          <w:shd w:val="clear" w:color="auto" w:fill="auto"/>
          <w:lang w:val="en-US" w:eastAsia="zh-CN"/>
        </w:rPr>
        <w:t>作为第一单位申报、</w:t>
      </w:r>
      <w:r>
        <w:rPr>
          <w:rFonts w:hint="eastAsia" w:ascii="仿宋" w:hAnsi="仿宋" w:eastAsia="仿宋" w:cs="仿宋"/>
          <w:spacing w:val="10"/>
          <w:sz w:val="32"/>
          <w:szCs w:val="32"/>
          <w:highlight w:val="none"/>
          <w:shd w:val="clear" w:color="auto" w:fill="auto"/>
        </w:rPr>
        <w:t>主导参加的项目，按正常分值进行加分；若所参与项目属于其他学院主办的情况，个人加分按奖</w:t>
      </w:r>
      <w:r>
        <w:rPr>
          <w:rFonts w:hint="eastAsia" w:ascii="仿宋" w:hAnsi="仿宋" w:eastAsia="仿宋" w:cs="仿宋"/>
          <w:spacing w:val="1"/>
          <w:sz w:val="32"/>
          <w:szCs w:val="32"/>
          <w:highlight w:val="none"/>
          <w:shd w:val="clear" w:color="auto" w:fill="auto"/>
        </w:rPr>
        <w:t>项分值的2/3计算。</w:t>
      </w:r>
    </w:p>
    <w:p w14:paraId="30552F0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560" w:lineRule="exact"/>
        <w:ind w:left="2" w:firstLine="431"/>
        <w:jc w:val="both"/>
        <w:textAlignment w:val="baseline"/>
        <w:rPr>
          <w:rFonts w:hint="eastAsia" w:ascii="仿宋" w:hAnsi="仿宋" w:eastAsia="仿宋" w:cs="仿宋"/>
          <w:spacing w:val="2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spacing w:val="10"/>
          <w:sz w:val="32"/>
          <w:szCs w:val="32"/>
          <w:highlight w:val="none"/>
          <w:shd w:val="clear" w:color="auto" w:fill="auto"/>
        </w:rPr>
        <w:t>院沙盘大赛、院商务谈判大赛、院营销策划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  <w:shd w:val="clear" w:color="auto" w:fill="auto"/>
        </w:rPr>
        <w:t>大赛属于院科技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  <w:shd w:val="clear" w:color="auto" w:fill="auto"/>
        </w:rPr>
        <w:t>竞赛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  <w:shd w:val="clear" w:color="auto" w:fill="auto"/>
          <w:lang w:eastAsia="zh-CN"/>
        </w:rPr>
        <w:t>。</w:t>
      </w:r>
    </w:p>
    <w:p w14:paraId="2DE239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  <w:lang w:val="en-US" w:eastAsia="zh-CN"/>
        </w:rPr>
        <w:t>大学生创新创业训练计划项目</w:t>
      </w:r>
      <w:r>
        <w:rPr>
          <w:rFonts w:hint="eastAsia" w:ascii="仿宋" w:hAnsi="仿宋" w:eastAsia="仿宋" w:cs="仿宋"/>
          <w:spacing w:val="10"/>
          <w:sz w:val="32"/>
          <w:szCs w:val="32"/>
          <w:highlight w:val="none"/>
          <w:shd w:val="clear" w:color="auto" w:fill="auto"/>
        </w:rPr>
        <w:t>的加分，立项比照校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auto"/>
        </w:rPr>
        <w:t>级优秀奖加分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</w:rPr>
        <w:t>结项且获得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</w:rPr>
        <w:t>等奖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  <w:lang w:val="en-US" w:eastAsia="zh-CN"/>
        </w:rPr>
        <w:t>及以上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</w:rPr>
        <w:t>的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  <w:lang w:val="en-US" w:eastAsia="zh-CN"/>
        </w:rPr>
        <w:t>每人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</w:rPr>
        <w:t>加0.2分。</w:t>
      </w:r>
    </w:p>
    <w:p w14:paraId="20AD6B6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" w:line="560" w:lineRule="exact"/>
        <w:ind w:left="2" w:firstLine="421"/>
        <w:jc w:val="both"/>
        <w:textAlignment w:val="baseline"/>
        <w:rPr>
          <w:rFonts w:hint="eastAsia" w:ascii="仿宋" w:hAnsi="仿宋" w:eastAsia="仿宋" w:cs="仿宋"/>
          <w:spacing w:val="6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spacing w:val="9"/>
          <w:sz w:val="32"/>
          <w:szCs w:val="32"/>
          <w:highlight w:val="none"/>
          <w:shd w:val="clear" w:color="auto" w:fill="auto"/>
          <w:lang w:eastAsia="zh-CN"/>
        </w:rPr>
        <w:t>全国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  <w:shd w:val="clear" w:color="auto" w:fill="auto"/>
        </w:rPr>
        <w:t>大学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  <w:shd w:val="clear" w:color="auto" w:fill="auto"/>
          <w:lang w:eastAsia="zh-CN"/>
        </w:rPr>
        <w:t>生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  <w:shd w:val="clear" w:color="auto" w:fill="auto"/>
        </w:rPr>
        <w:t>英语竞赛（全国大学生英语指导委员会颁发</w:t>
      </w:r>
      <w:r>
        <w:rPr>
          <w:rFonts w:hint="eastAsia" w:ascii="仿宋" w:hAnsi="仿宋" w:eastAsia="仿宋" w:cs="仿宋"/>
          <w:spacing w:val="24"/>
          <w:sz w:val="32"/>
          <w:szCs w:val="32"/>
          <w:highlight w:val="none"/>
          <w:shd w:val="clear" w:color="auto" w:fill="auto"/>
        </w:rPr>
        <w:t>）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  <w:shd w:val="clear" w:color="auto" w:fill="auto"/>
        </w:rPr>
        <w:t>若为特等奖，则按照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  <w:shd w:val="clear" w:color="auto" w:fill="auto"/>
        </w:rPr>
        <w:t>“竞赛奖励分一览表”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  <w:shd w:val="clear" w:color="auto" w:fill="auto"/>
          <w:lang w:val="en-US" w:eastAsia="zh-CN"/>
        </w:rPr>
        <w:t>的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  <w:shd w:val="clear" w:color="auto" w:fill="auto"/>
        </w:rPr>
        <w:t>国家级标准加分；若为一等奖，则按照省级标准加分；若为二等奖和三等奖，则按照校级标准加分。</w:t>
      </w:r>
    </w:p>
    <w:p w14:paraId="457DE1F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0" w:line="560" w:lineRule="exact"/>
        <w:ind w:left="4" w:firstLine="417"/>
        <w:jc w:val="both"/>
        <w:textAlignment w:val="baseline"/>
        <w:rPr>
          <w:rFonts w:hint="eastAsia" w:ascii="仿宋" w:hAnsi="仿宋" w:eastAsia="仿宋" w:cs="仿宋"/>
          <w:spacing w:val="9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spacing w:val="10"/>
          <w:sz w:val="32"/>
          <w:szCs w:val="32"/>
          <w:highlight w:val="none"/>
          <w:shd w:val="clear" w:color="auto" w:fill="auto"/>
        </w:rPr>
        <w:t>针对创新创业能力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加分中有关自主创业行为加分：学生创业取得营业执照，应学生本</w:t>
      </w:r>
      <w:r>
        <w:rPr>
          <w:rFonts w:hint="eastAsia" w:ascii="仿宋" w:hAnsi="仿宋" w:eastAsia="仿宋" w:cs="仿宋"/>
          <w:spacing w:val="10"/>
          <w:sz w:val="32"/>
          <w:szCs w:val="32"/>
          <w:highlight w:val="none"/>
          <w:shd w:val="clear" w:color="auto" w:fill="auto"/>
        </w:rPr>
        <w:t>人为法人，且注册时间在测评学年内。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  <w:shd w:val="clear" w:color="auto" w:fill="auto"/>
        </w:rPr>
        <w:t>由学生本人提交相关材料，加1分，证书不可累加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  <w:shd w:val="clear" w:color="auto" w:fill="auto"/>
          <w:lang w:val="en-US" w:eastAsia="zh-CN"/>
        </w:rPr>
        <w:t>上限为1分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  <w:shd w:val="clear" w:color="auto" w:fill="auto"/>
        </w:rPr>
        <w:t>。</w:t>
      </w:r>
    </w:p>
    <w:p w14:paraId="2496779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0" w:line="560" w:lineRule="exact"/>
        <w:ind w:firstLine="627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spacing w:val="-4"/>
          <w:sz w:val="32"/>
          <w:szCs w:val="32"/>
          <w:highlight w:val="none"/>
          <w:shd w:val="clear" w:color="auto" w:fill="auto"/>
        </w:rPr>
        <w:t>2.科研成果</w:t>
      </w:r>
    </w:p>
    <w:p w14:paraId="6851191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560" w:lineRule="exact"/>
        <w:ind w:firstLine="320" w:firstLineChars="100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  <w:lang w:val="en-US" w:eastAsia="zh-CN"/>
        </w:rPr>
        <w:t>以常州大学为第一申报单位、且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  <w:lang w:eastAsia="zh-CN"/>
        </w:rPr>
        <w:t>被授予或公开专利项目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  <w:lang w:eastAsia="zh-CN"/>
        </w:rPr>
        <w:t>加分标准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  <w:lang w:val="en-US" w:eastAsia="zh-CN"/>
        </w:rPr>
        <w:t>如下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  <w:lang w:eastAsia="zh-CN"/>
        </w:rPr>
        <w:t>：</w:t>
      </w:r>
    </w:p>
    <w:tbl>
      <w:tblPr>
        <w:tblStyle w:val="6"/>
        <w:tblW w:w="84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908"/>
        <w:gridCol w:w="848"/>
        <w:gridCol w:w="828"/>
        <w:gridCol w:w="871"/>
        <w:gridCol w:w="849"/>
        <w:gridCol w:w="935"/>
        <w:gridCol w:w="838"/>
        <w:gridCol w:w="839"/>
      </w:tblGrid>
      <w:tr w14:paraId="0D6D8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22" w:type="dxa"/>
            <w:vMerge w:val="restart"/>
          </w:tcPr>
          <w:p w14:paraId="2D55E64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ind w:left="28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eastAsia="zh-CN"/>
              </w:rPr>
            </w:pPr>
          </w:p>
          <w:p w14:paraId="406EE0B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ind w:firstLine="627" w:firstLineChars="200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eastAsia="zh-CN"/>
              </w:rPr>
              <w:t>类别</w:t>
            </w:r>
          </w:p>
        </w:tc>
        <w:tc>
          <w:tcPr>
            <w:tcW w:w="1756" w:type="dxa"/>
            <w:gridSpan w:val="2"/>
          </w:tcPr>
          <w:p w14:paraId="2F7D12A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eastAsia="zh-CN"/>
              </w:rPr>
              <w:t>排名第一人</w:t>
            </w:r>
          </w:p>
        </w:tc>
        <w:tc>
          <w:tcPr>
            <w:tcW w:w="1699" w:type="dxa"/>
            <w:gridSpan w:val="2"/>
          </w:tcPr>
          <w:p w14:paraId="3DF99D4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eastAsia="zh-CN"/>
              </w:rPr>
              <w:t>排名第二人</w:t>
            </w:r>
          </w:p>
        </w:tc>
        <w:tc>
          <w:tcPr>
            <w:tcW w:w="1784" w:type="dxa"/>
            <w:gridSpan w:val="2"/>
          </w:tcPr>
          <w:p w14:paraId="3A3AC22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eastAsia="zh-CN"/>
              </w:rPr>
              <w:t>排名第三人</w:t>
            </w:r>
          </w:p>
        </w:tc>
        <w:tc>
          <w:tcPr>
            <w:tcW w:w="1677" w:type="dxa"/>
            <w:gridSpan w:val="2"/>
          </w:tcPr>
          <w:p w14:paraId="31281DD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eastAsia="zh-CN"/>
              </w:rPr>
              <w:t>排名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  <w:t>第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eastAsia="zh-CN"/>
              </w:rPr>
              <w:t>四人</w:t>
            </w:r>
          </w:p>
        </w:tc>
      </w:tr>
      <w:tr w14:paraId="54A17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2" w:type="dxa"/>
            <w:vMerge w:val="continue"/>
          </w:tcPr>
          <w:p w14:paraId="3C55DC7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ind w:left="28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eastAsia="zh-CN"/>
              </w:rPr>
            </w:pPr>
          </w:p>
        </w:tc>
        <w:tc>
          <w:tcPr>
            <w:tcW w:w="908" w:type="dxa"/>
          </w:tcPr>
          <w:p w14:paraId="6BDB474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eastAsia="zh-CN"/>
              </w:rPr>
              <w:t>被授予</w:t>
            </w:r>
          </w:p>
        </w:tc>
        <w:tc>
          <w:tcPr>
            <w:tcW w:w="848" w:type="dxa"/>
          </w:tcPr>
          <w:p w14:paraId="776185F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eastAsia="zh-CN"/>
              </w:rPr>
              <w:t>公开</w:t>
            </w:r>
          </w:p>
        </w:tc>
        <w:tc>
          <w:tcPr>
            <w:tcW w:w="828" w:type="dxa"/>
            <w:vAlign w:val="top"/>
          </w:tcPr>
          <w:p w14:paraId="7FA802A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eastAsia="zh-CN"/>
              </w:rPr>
              <w:t>被授予</w:t>
            </w:r>
          </w:p>
        </w:tc>
        <w:tc>
          <w:tcPr>
            <w:tcW w:w="871" w:type="dxa"/>
            <w:vAlign w:val="top"/>
          </w:tcPr>
          <w:p w14:paraId="1CFB902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eastAsia="zh-CN"/>
              </w:rPr>
              <w:t>公开</w:t>
            </w:r>
          </w:p>
        </w:tc>
        <w:tc>
          <w:tcPr>
            <w:tcW w:w="849" w:type="dxa"/>
            <w:vAlign w:val="top"/>
          </w:tcPr>
          <w:p w14:paraId="7614B27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eastAsia="zh-CN"/>
              </w:rPr>
              <w:t>被授予</w:t>
            </w:r>
          </w:p>
        </w:tc>
        <w:tc>
          <w:tcPr>
            <w:tcW w:w="935" w:type="dxa"/>
            <w:vAlign w:val="top"/>
          </w:tcPr>
          <w:p w14:paraId="67818B2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eastAsia="zh-CN"/>
              </w:rPr>
              <w:t>公开</w:t>
            </w:r>
          </w:p>
        </w:tc>
        <w:tc>
          <w:tcPr>
            <w:tcW w:w="838" w:type="dxa"/>
            <w:vAlign w:val="top"/>
          </w:tcPr>
          <w:p w14:paraId="44AA5DB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eastAsia="zh-CN"/>
              </w:rPr>
              <w:t>被授予</w:t>
            </w:r>
          </w:p>
        </w:tc>
        <w:tc>
          <w:tcPr>
            <w:tcW w:w="839" w:type="dxa"/>
            <w:vAlign w:val="top"/>
          </w:tcPr>
          <w:p w14:paraId="01E424D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eastAsia="zh-CN"/>
              </w:rPr>
              <w:t>公开</w:t>
            </w:r>
          </w:p>
        </w:tc>
      </w:tr>
      <w:tr w14:paraId="2A75C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22" w:type="dxa"/>
          </w:tcPr>
          <w:p w14:paraId="5BEE427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  <w:t>发明专利</w:t>
            </w:r>
          </w:p>
        </w:tc>
        <w:tc>
          <w:tcPr>
            <w:tcW w:w="908" w:type="dxa"/>
          </w:tcPr>
          <w:p w14:paraId="6C22B8A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848" w:type="dxa"/>
          </w:tcPr>
          <w:p w14:paraId="0412DDB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828" w:type="dxa"/>
          </w:tcPr>
          <w:p w14:paraId="6CEE87D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871" w:type="dxa"/>
          </w:tcPr>
          <w:p w14:paraId="70D6328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  <w:t>2.2</w:t>
            </w:r>
          </w:p>
        </w:tc>
        <w:tc>
          <w:tcPr>
            <w:tcW w:w="849" w:type="dxa"/>
          </w:tcPr>
          <w:p w14:paraId="2D52D6A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935" w:type="dxa"/>
          </w:tcPr>
          <w:p w14:paraId="4417DA3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  <w:t>1.25</w:t>
            </w:r>
          </w:p>
        </w:tc>
        <w:tc>
          <w:tcPr>
            <w:tcW w:w="838" w:type="dxa"/>
          </w:tcPr>
          <w:p w14:paraId="5C4CB42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  <w:t>1.5</w:t>
            </w:r>
          </w:p>
        </w:tc>
        <w:tc>
          <w:tcPr>
            <w:tcW w:w="839" w:type="dxa"/>
          </w:tcPr>
          <w:p w14:paraId="74B9109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  <w:t>0.75</w:t>
            </w:r>
          </w:p>
        </w:tc>
      </w:tr>
      <w:tr w14:paraId="5F325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2" w:type="dxa"/>
          </w:tcPr>
          <w:p w14:paraId="1CAD1EC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  <w:t>实用新型专利</w:t>
            </w:r>
          </w:p>
        </w:tc>
        <w:tc>
          <w:tcPr>
            <w:tcW w:w="908" w:type="dxa"/>
          </w:tcPr>
          <w:p w14:paraId="16A3477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848" w:type="dxa"/>
          </w:tcPr>
          <w:p w14:paraId="59E9198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828" w:type="dxa"/>
          </w:tcPr>
          <w:p w14:paraId="353597E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871" w:type="dxa"/>
          </w:tcPr>
          <w:p w14:paraId="242B78E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849" w:type="dxa"/>
          </w:tcPr>
          <w:p w14:paraId="094E861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935" w:type="dxa"/>
          </w:tcPr>
          <w:p w14:paraId="166DE58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838" w:type="dxa"/>
          </w:tcPr>
          <w:p w14:paraId="5CFD03B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839" w:type="dxa"/>
          </w:tcPr>
          <w:p w14:paraId="6D09DA9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  <w:t>/</w:t>
            </w:r>
          </w:p>
        </w:tc>
      </w:tr>
      <w:tr w14:paraId="05834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22" w:type="dxa"/>
          </w:tcPr>
          <w:p w14:paraId="5B0A485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  <w:t>外观设计专利</w:t>
            </w:r>
          </w:p>
        </w:tc>
        <w:tc>
          <w:tcPr>
            <w:tcW w:w="908" w:type="dxa"/>
          </w:tcPr>
          <w:p w14:paraId="303390F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  <w:t>1.25</w:t>
            </w:r>
          </w:p>
        </w:tc>
        <w:tc>
          <w:tcPr>
            <w:tcW w:w="848" w:type="dxa"/>
          </w:tcPr>
          <w:p w14:paraId="309945B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828" w:type="dxa"/>
          </w:tcPr>
          <w:p w14:paraId="2B1D44A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871" w:type="dxa"/>
          </w:tcPr>
          <w:p w14:paraId="5E5312B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849" w:type="dxa"/>
          </w:tcPr>
          <w:p w14:paraId="231A343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  <w:t>0.4</w:t>
            </w:r>
          </w:p>
        </w:tc>
        <w:tc>
          <w:tcPr>
            <w:tcW w:w="935" w:type="dxa"/>
          </w:tcPr>
          <w:p w14:paraId="116B2E0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838" w:type="dxa"/>
          </w:tcPr>
          <w:p w14:paraId="4FFD6A9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  <w:t>0.2</w:t>
            </w:r>
          </w:p>
        </w:tc>
        <w:tc>
          <w:tcPr>
            <w:tcW w:w="839" w:type="dxa"/>
          </w:tcPr>
          <w:p w14:paraId="56E3025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  <w:t>/</w:t>
            </w:r>
          </w:p>
        </w:tc>
      </w:tr>
    </w:tbl>
    <w:p w14:paraId="5A96C97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（2）公开发表在正式刊物的学术论文，加分标准如下：</w:t>
      </w:r>
    </w:p>
    <w:tbl>
      <w:tblPr>
        <w:tblStyle w:val="6"/>
        <w:tblW w:w="851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6"/>
        <w:gridCol w:w="1377"/>
        <w:gridCol w:w="1640"/>
        <w:gridCol w:w="1638"/>
        <w:gridCol w:w="1977"/>
      </w:tblGrid>
      <w:tr w14:paraId="78E6DC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886" w:type="dxa"/>
            <w:vMerge w:val="restart"/>
          </w:tcPr>
          <w:p w14:paraId="3E493B4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4"/>
                <w:sz w:val="32"/>
                <w:szCs w:val="32"/>
                <w:lang w:val="en-US" w:eastAsia="zh-CN"/>
              </w:rPr>
            </w:pPr>
          </w:p>
          <w:p w14:paraId="491F41C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  <w:sz w:val="32"/>
                <w:szCs w:val="32"/>
                <w:lang w:val="en-US" w:eastAsia="zh-CN"/>
              </w:rPr>
              <w:t>级别</w:t>
            </w:r>
          </w:p>
        </w:tc>
        <w:tc>
          <w:tcPr>
            <w:tcW w:w="4655" w:type="dxa"/>
            <w:gridSpan w:val="3"/>
          </w:tcPr>
          <w:p w14:paraId="14E6E94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  <w:t>加分</w:t>
            </w:r>
          </w:p>
        </w:tc>
        <w:tc>
          <w:tcPr>
            <w:tcW w:w="1977" w:type="dxa"/>
          </w:tcPr>
          <w:p w14:paraId="070CF7B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</w:pPr>
          </w:p>
        </w:tc>
      </w:tr>
      <w:tr w14:paraId="0F41DF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886" w:type="dxa"/>
            <w:vMerge w:val="continue"/>
          </w:tcPr>
          <w:p w14:paraId="4CA4ACA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77" w:type="dxa"/>
          </w:tcPr>
          <w:p w14:paraId="3CD4F65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highlight w:val="none"/>
                <w:lang w:val="en-US" w:eastAsia="zh-CN"/>
              </w:rPr>
              <w:t>第一作者</w:t>
            </w:r>
          </w:p>
        </w:tc>
        <w:tc>
          <w:tcPr>
            <w:tcW w:w="1640" w:type="dxa"/>
          </w:tcPr>
          <w:p w14:paraId="5935FAC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highlight w:val="none"/>
                <w:lang w:val="en-US" w:eastAsia="zh-CN"/>
              </w:rPr>
              <w:t>第二作者</w:t>
            </w:r>
          </w:p>
        </w:tc>
        <w:tc>
          <w:tcPr>
            <w:tcW w:w="1638" w:type="dxa"/>
          </w:tcPr>
          <w:p w14:paraId="550FCF4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highlight w:val="none"/>
                <w:lang w:val="en-US" w:eastAsia="zh-CN"/>
              </w:rPr>
              <w:t>第三作者</w:t>
            </w:r>
          </w:p>
        </w:tc>
        <w:tc>
          <w:tcPr>
            <w:tcW w:w="1977" w:type="dxa"/>
          </w:tcPr>
          <w:p w14:paraId="6D0CFF8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highlight w:val="none"/>
                <w:lang w:val="en-US" w:eastAsia="zh-CN"/>
              </w:rPr>
              <w:t>其他</w:t>
            </w:r>
          </w:p>
        </w:tc>
      </w:tr>
      <w:tr w14:paraId="1EC33A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886" w:type="dxa"/>
          </w:tcPr>
          <w:p w14:paraId="41B4645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highlight w:val="none"/>
                <w:lang w:val="en-US" w:eastAsia="zh-CN"/>
              </w:rPr>
              <w:t>EI、SCI检录</w:t>
            </w:r>
          </w:p>
        </w:tc>
        <w:tc>
          <w:tcPr>
            <w:tcW w:w="1377" w:type="dxa"/>
          </w:tcPr>
          <w:p w14:paraId="6D1997C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1640" w:type="dxa"/>
          </w:tcPr>
          <w:p w14:paraId="6BFEF19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638" w:type="dxa"/>
          </w:tcPr>
          <w:p w14:paraId="1B75335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977" w:type="dxa"/>
          </w:tcPr>
          <w:p w14:paraId="08A3A13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highlight w:val="none"/>
                <w:lang w:val="en-US" w:eastAsia="zh-CN"/>
              </w:rPr>
              <w:t>0.5</w:t>
            </w:r>
          </w:p>
        </w:tc>
      </w:tr>
      <w:tr w14:paraId="29EFA4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886" w:type="dxa"/>
          </w:tcPr>
          <w:p w14:paraId="570AA2E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highlight w:val="none"/>
                <w:lang w:val="en-US" w:eastAsia="zh-CN"/>
              </w:rPr>
              <w:t>核心刊物</w:t>
            </w:r>
          </w:p>
        </w:tc>
        <w:tc>
          <w:tcPr>
            <w:tcW w:w="1377" w:type="dxa"/>
          </w:tcPr>
          <w:p w14:paraId="67C983A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640" w:type="dxa"/>
          </w:tcPr>
          <w:p w14:paraId="49D260C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638" w:type="dxa"/>
          </w:tcPr>
          <w:p w14:paraId="5D2AE16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highlight w:val="none"/>
                <w:lang w:val="en-US" w:eastAsia="zh-CN"/>
              </w:rPr>
              <w:t>0.5</w:t>
            </w:r>
          </w:p>
        </w:tc>
        <w:tc>
          <w:tcPr>
            <w:tcW w:w="1977" w:type="dxa"/>
          </w:tcPr>
          <w:p w14:paraId="392FB14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highlight w:val="none"/>
                <w:lang w:val="en-US" w:eastAsia="zh-CN"/>
              </w:rPr>
              <w:t>0.2</w:t>
            </w:r>
          </w:p>
        </w:tc>
      </w:tr>
      <w:tr w14:paraId="0B1C69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886" w:type="dxa"/>
          </w:tcPr>
          <w:p w14:paraId="4BD4B04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highlight w:val="none"/>
                <w:lang w:val="en-US" w:eastAsia="zh-CN"/>
              </w:rPr>
              <w:t>一般刊物</w:t>
            </w:r>
          </w:p>
        </w:tc>
        <w:tc>
          <w:tcPr>
            <w:tcW w:w="1377" w:type="dxa"/>
          </w:tcPr>
          <w:p w14:paraId="15A68F1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highlight w:val="none"/>
                <w:lang w:val="en-US" w:eastAsia="zh-CN"/>
              </w:rPr>
              <w:t>1.5</w:t>
            </w:r>
          </w:p>
        </w:tc>
        <w:tc>
          <w:tcPr>
            <w:tcW w:w="1640" w:type="dxa"/>
          </w:tcPr>
          <w:p w14:paraId="4EABB99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highlight w:val="none"/>
                <w:lang w:val="en-US" w:eastAsia="zh-CN"/>
              </w:rPr>
              <w:t>0.75</w:t>
            </w:r>
          </w:p>
        </w:tc>
        <w:tc>
          <w:tcPr>
            <w:tcW w:w="1638" w:type="dxa"/>
          </w:tcPr>
          <w:p w14:paraId="5A2E494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highlight w:val="none"/>
                <w:lang w:val="en-US" w:eastAsia="zh-CN"/>
              </w:rPr>
              <w:t>0.3</w:t>
            </w:r>
          </w:p>
        </w:tc>
        <w:tc>
          <w:tcPr>
            <w:tcW w:w="1977" w:type="dxa"/>
          </w:tcPr>
          <w:p w14:paraId="3EB5480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highlight w:val="none"/>
                <w:lang w:val="en-US" w:eastAsia="zh-CN"/>
              </w:rPr>
              <w:t>0.1</w:t>
            </w:r>
          </w:p>
        </w:tc>
      </w:tr>
      <w:tr w14:paraId="5221EF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1886" w:type="dxa"/>
          </w:tcPr>
          <w:p w14:paraId="4ACD401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highlight w:val="none"/>
                <w:lang w:val="en-US" w:eastAsia="zh-CN"/>
              </w:rPr>
              <w:t>市级以上党政报刊理论版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32C713F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highlight w:val="none"/>
                <w:lang w:val="en-US" w:eastAsia="zh-CN"/>
              </w:rPr>
              <w:t>1.5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4F86E32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highlight w:val="none"/>
                <w:lang w:val="en-US" w:eastAsia="zh-CN"/>
              </w:rPr>
              <w:t>0.75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386C11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highlight w:val="none"/>
                <w:lang w:val="en-US" w:eastAsia="zh-CN"/>
              </w:rPr>
              <w:t>0.3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103BF04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highlight w:val="none"/>
                <w:lang w:val="en-US" w:eastAsia="zh-CN"/>
              </w:rPr>
              <w:t>0.1</w:t>
            </w:r>
          </w:p>
        </w:tc>
      </w:tr>
    </w:tbl>
    <w:p w14:paraId="0D22018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5" w:line="560" w:lineRule="exact"/>
        <w:ind w:firstLine="431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</w:rPr>
        <w:t>注：科研成果署名单位必须为常州大学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  <w:lang w:val="en-US" w:eastAsia="zh-CN"/>
        </w:rPr>
        <w:t>且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</w:rPr>
        <w:t>加分仅限所学专业及相关领域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  <w:lang w:val="en-US" w:eastAsia="zh-CN"/>
        </w:rPr>
        <w:t>之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</w:rPr>
        <w:t>内；同一著作、学术论文、专利按最高级别标准加分一次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  <w:lang w:val="en-US" w:eastAsia="zh-CN"/>
        </w:rPr>
        <w:t>学术论文以在学校图书馆例举的中文资源库中查询为准。</w:t>
      </w:r>
    </w:p>
    <w:p w14:paraId="6FBE6A6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0" w:line="560" w:lineRule="exact"/>
        <w:ind w:left="1" w:firstLine="43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（3）文学、美术、摄影等作品参照优秀奖执行（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在学校内部</w:t>
      </w:r>
      <w:r>
        <w:rPr>
          <w:rFonts w:hint="eastAsia" w:ascii="仿宋" w:hAnsi="仿宋" w:eastAsia="仿宋" w:cs="仿宋"/>
          <w:spacing w:val="9"/>
          <w:sz w:val="32"/>
          <w:szCs w:val="32"/>
        </w:rPr>
        <w:t>刊物上发表的酌情加分，每件不超过0.1分，文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学、美术、摄影相关专业的由相关学院自行认定加分标准）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。</w:t>
      </w:r>
    </w:p>
    <w:p w14:paraId="0008674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0" w:line="560" w:lineRule="exact"/>
        <w:ind w:firstLine="627" w:firstLineChars="200"/>
        <w:jc w:val="both"/>
        <w:textAlignment w:val="baseline"/>
        <w:rPr>
          <w:rFonts w:hint="eastAsia" w:ascii="仿宋" w:hAnsi="仿宋" w:eastAsia="仿宋" w:cs="仿宋"/>
          <w:b/>
          <w:bCs/>
          <w:spacing w:val="-4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4"/>
          <w:sz w:val="32"/>
          <w:szCs w:val="32"/>
        </w:rPr>
        <w:t>3.说明</w:t>
      </w:r>
    </w:p>
    <w:p w14:paraId="765415C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3" w:line="560" w:lineRule="exact"/>
        <w:ind w:left="2" w:firstLine="429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上述各类竞赛活动若以名次评出，则第一名</w:t>
      </w:r>
      <w:r>
        <w:rPr>
          <w:rFonts w:hint="eastAsia" w:ascii="仿宋" w:hAnsi="仿宋" w:eastAsia="仿宋" w:cs="仿宋"/>
          <w:spacing w:val="5"/>
          <w:sz w:val="32"/>
          <w:szCs w:val="32"/>
        </w:rPr>
        <w:t>按一等奖加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分，第二、三名按二等奖加分，第四、五名以后按三等奖加分。</w:t>
      </w:r>
      <w:r>
        <w:rPr>
          <w:rFonts w:hint="eastAsia" w:ascii="仿宋" w:hAnsi="仿宋" w:eastAsia="仿宋" w:cs="仿宋"/>
          <w:spacing w:val="4"/>
          <w:sz w:val="32"/>
          <w:szCs w:val="32"/>
        </w:rPr>
        <w:t>若设特等奖，则以同级一等奖加分标准×1.2执行，参与奖、入围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奖则以同级优秀奖加分标准执行，省级以上，国家级以下的大区</w:t>
      </w:r>
      <w:r>
        <w:rPr>
          <w:rFonts w:hint="eastAsia" w:ascii="仿宋" w:hAnsi="仿宋" w:eastAsia="仿宋" w:cs="仿宋"/>
          <w:spacing w:val="4"/>
          <w:sz w:val="32"/>
          <w:szCs w:val="32"/>
        </w:rPr>
        <w:t>级获奖按照省级加分标准×1.2执行，市级以上，省级以下的片区级获奖按照市级加分标准×1.2执行。</w:t>
      </w:r>
    </w:p>
    <w:p w14:paraId="56692A2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1" w:line="560" w:lineRule="exact"/>
        <w:ind w:firstLine="667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6"/>
          <w:sz w:val="32"/>
          <w:szCs w:val="32"/>
        </w:rPr>
        <w:t>（二）社会工作能力</w:t>
      </w:r>
    </w:p>
    <w:p w14:paraId="182A49A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560" w:lineRule="exact"/>
        <w:ind w:left="118" w:right="53" w:firstLine="441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1.学生干部指担任班委、团支委（含）等以上职务的学生。</w:t>
      </w:r>
      <w:r>
        <w:rPr>
          <w:rFonts w:hint="eastAsia" w:ascii="仿宋" w:hAnsi="仿宋" w:eastAsia="仿宋" w:cs="仿宋"/>
          <w:spacing w:val="9"/>
          <w:sz w:val="32"/>
          <w:szCs w:val="32"/>
        </w:rPr>
        <w:t>“一级学生干部”系指该学年中任职</w:t>
      </w:r>
      <w:r>
        <w:rPr>
          <w:rFonts w:hint="eastAsia" w:ascii="仿宋" w:hAnsi="仿宋" w:eastAsia="仿宋" w:cs="仿宋"/>
          <w:b/>
          <w:bCs/>
          <w:spacing w:val="9"/>
          <w:sz w:val="32"/>
          <w:szCs w:val="32"/>
        </w:rPr>
        <w:t>半年以上</w:t>
      </w:r>
      <w:r>
        <w:rPr>
          <w:rFonts w:hint="eastAsia" w:ascii="仿宋" w:hAnsi="仿宋" w:eastAsia="仿宋" w:cs="仿宋"/>
          <w:spacing w:val="9"/>
          <w:sz w:val="32"/>
          <w:szCs w:val="32"/>
        </w:rPr>
        <w:t>的（下同）校、院</w:t>
      </w:r>
      <w:r>
        <w:rPr>
          <w:rFonts w:hint="eastAsia" w:ascii="仿宋" w:hAnsi="仿宋" w:eastAsia="仿宋" w:cs="仿宋"/>
          <w:spacing w:val="11"/>
          <w:sz w:val="32"/>
          <w:szCs w:val="32"/>
        </w:rPr>
        <w:t>学生会正、副主席，团委、校学生会副秘书长、各部部长，校、院自律中心正副主</w:t>
      </w:r>
      <w:r>
        <w:rPr>
          <w:rFonts w:hint="eastAsia" w:ascii="仿宋" w:hAnsi="仿宋" w:eastAsia="仿宋" w:cs="仿宋"/>
          <w:spacing w:val="11"/>
          <w:sz w:val="32"/>
          <w:szCs w:val="32"/>
          <w:highlight w:val="none"/>
        </w:rPr>
        <w:t>任，校自律中心各部部长，院团总支副书记，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</w:rPr>
        <w:t>学生班主任；“二级学生干部”系指学生社团负责人、校团委、</w:t>
      </w:r>
      <w:r>
        <w:rPr>
          <w:rFonts w:hint="eastAsia" w:ascii="仿宋" w:hAnsi="仿宋" w:eastAsia="仿宋" w:cs="仿宋"/>
          <w:spacing w:val="11"/>
          <w:sz w:val="32"/>
          <w:szCs w:val="32"/>
          <w:highlight w:val="none"/>
        </w:rPr>
        <w:t>学生会各部副部长、校自律中心各部副部长</w:t>
      </w:r>
      <w:r>
        <w:rPr>
          <w:rFonts w:hint="eastAsia" w:ascii="仿宋" w:hAnsi="仿宋" w:eastAsia="仿宋" w:cs="仿宋"/>
          <w:spacing w:val="10"/>
          <w:sz w:val="32"/>
          <w:szCs w:val="32"/>
          <w:highlight w:val="none"/>
        </w:rPr>
        <w:t>、校团总支委员，院</w:t>
      </w:r>
      <w:r>
        <w:rPr>
          <w:rFonts w:hint="eastAsia" w:ascii="仿宋" w:hAnsi="仿宋" w:eastAsia="仿宋" w:cs="仿宋"/>
          <w:spacing w:val="11"/>
          <w:sz w:val="32"/>
          <w:szCs w:val="32"/>
          <w:highlight w:val="none"/>
        </w:rPr>
        <w:t>学生会各部长及自律中心各部长，班长和团</w:t>
      </w:r>
      <w:r>
        <w:rPr>
          <w:rFonts w:hint="eastAsia" w:ascii="仿宋" w:hAnsi="仿宋" w:eastAsia="仿宋" w:cs="仿宋"/>
          <w:spacing w:val="10"/>
          <w:sz w:val="32"/>
          <w:szCs w:val="32"/>
          <w:highlight w:val="none"/>
        </w:rPr>
        <w:t>支部书记，辅导员助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</w:rPr>
        <w:t>理；“三级学生干部”系指学校认定的其他学生干部，包括各级</w:t>
      </w:r>
      <w:r>
        <w:rPr>
          <w:rFonts w:hint="eastAsia" w:ascii="仿宋" w:hAnsi="仿宋" w:eastAsia="仿宋" w:cs="仿宋"/>
          <w:spacing w:val="11"/>
          <w:sz w:val="32"/>
          <w:szCs w:val="32"/>
          <w:highlight w:val="none"/>
        </w:rPr>
        <w:t>干事、寝室长等；身兼多职的学生干部以最</w:t>
      </w:r>
      <w:r>
        <w:rPr>
          <w:rFonts w:hint="eastAsia" w:ascii="仿宋" w:hAnsi="仿宋" w:eastAsia="仿宋" w:cs="仿宋"/>
          <w:spacing w:val="10"/>
          <w:sz w:val="32"/>
          <w:szCs w:val="32"/>
          <w:highlight w:val="none"/>
        </w:rPr>
        <w:t>高级别计。对学生干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</w:rPr>
        <w:t>部要进行统一管理，由在用单位根据工作情况进行考核，确定等</w:t>
      </w:r>
      <w:r>
        <w:rPr>
          <w:rFonts w:hint="eastAsia" w:ascii="仿宋" w:hAnsi="仿宋" w:eastAsia="仿宋" w:cs="仿宋"/>
          <w:spacing w:val="5"/>
          <w:sz w:val="32"/>
          <w:szCs w:val="32"/>
          <w:highlight w:val="none"/>
        </w:rPr>
        <w:t>级，考核可分三等：优秀、良好、一般。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  <w:highlight w:val="none"/>
        </w:rPr>
        <w:t>校、院等学生干部任用、</w:t>
      </w:r>
      <w:r>
        <w:rPr>
          <w:rFonts w:hint="eastAsia" w:ascii="仿宋" w:hAnsi="仿宋" w:eastAsia="仿宋" w:cs="仿宋"/>
          <w:b/>
          <w:bCs/>
          <w:spacing w:val="16"/>
          <w:sz w:val="32"/>
          <w:szCs w:val="32"/>
          <w:highlight w:val="none"/>
        </w:rPr>
        <w:t>考核主管部门应在新学年开学后两周内将考核结果的正式文件</w:t>
      </w:r>
      <w:r>
        <w:rPr>
          <w:rFonts w:hint="eastAsia" w:ascii="仿宋" w:hAnsi="仿宋" w:eastAsia="仿宋" w:cs="仿宋"/>
          <w:b/>
          <w:bCs/>
          <w:spacing w:val="9"/>
          <w:sz w:val="32"/>
          <w:szCs w:val="32"/>
          <w:highlight w:val="none"/>
        </w:rPr>
        <w:t>报学生所在学院学工部门，并及时反馈到该生所在班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highlight w:val="none"/>
        </w:rPr>
        <w:t>级。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担任各级学生干部，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highlight w:val="none"/>
        </w:rPr>
        <w:t>取高限，不累计加分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。</w:t>
      </w:r>
    </w:p>
    <w:p w14:paraId="6A54771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" w:after="0" w:afterLines="50" w:line="560" w:lineRule="exact"/>
        <w:ind w:left="55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社团各部长依照三级学生干部加分。</w:t>
      </w:r>
    </w:p>
    <w:p w14:paraId="5674DD1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1" w:after="0" w:afterLines="50" w:line="560" w:lineRule="exact"/>
        <w:jc w:val="center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学生干部奖励分标准一览表</w:t>
      </w:r>
    </w:p>
    <w:tbl>
      <w:tblPr>
        <w:tblStyle w:val="8"/>
        <w:tblW w:w="793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7"/>
        <w:gridCol w:w="2106"/>
        <w:gridCol w:w="2106"/>
        <w:gridCol w:w="2060"/>
      </w:tblGrid>
      <w:tr w14:paraId="0B864E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667" w:type="dxa"/>
            <w:vAlign w:val="top"/>
          </w:tcPr>
          <w:p w14:paraId="3B8BC1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</w:rPr>
              <w:t>级别</w:t>
            </w:r>
          </w:p>
        </w:tc>
        <w:tc>
          <w:tcPr>
            <w:tcW w:w="2106" w:type="dxa"/>
            <w:vAlign w:val="top"/>
          </w:tcPr>
          <w:p w14:paraId="2D8EA3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>优秀</w:t>
            </w:r>
          </w:p>
        </w:tc>
        <w:tc>
          <w:tcPr>
            <w:tcW w:w="2106" w:type="dxa"/>
            <w:vAlign w:val="top"/>
          </w:tcPr>
          <w:p w14:paraId="5FF679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9"/>
                <w:sz w:val="32"/>
                <w:szCs w:val="32"/>
              </w:rPr>
              <w:t>良好</w:t>
            </w:r>
          </w:p>
        </w:tc>
        <w:tc>
          <w:tcPr>
            <w:tcW w:w="2060" w:type="dxa"/>
            <w:vAlign w:val="top"/>
          </w:tcPr>
          <w:p w14:paraId="1011E0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</w:rPr>
              <w:t>一般</w:t>
            </w:r>
          </w:p>
        </w:tc>
      </w:tr>
      <w:tr w14:paraId="25E62A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667" w:type="dxa"/>
            <w:vAlign w:val="top"/>
          </w:tcPr>
          <w:p w14:paraId="1ADEE2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</w:rPr>
              <w:t>一级</w:t>
            </w:r>
          </w:p>
        </w:tc>
        <w:tc>
          <w:tcPr>
            <w:tcW w:w="2106" w:type="dxa"/>
            <w:vAlign w:val="top"/>
          </w:tcPr>
          <w:p w14:paraId="18548CD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8"/>
                <w:sz w:val="32"/>
                <w:szCs w:val="32"/>
              </w:rPr>
              <w:t>1.5</w:t>
            </w:r>
          </w:p>
        </w:tc>
        <w:tc>
          <w:tcPr>
            <w:tcW w:w="2106" w:type="dxa"/>
            <w:vAlign w:val="top"/>
          </w:tcPr>
          <w:p w14:paraId="3C221D1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8"/>
                <w:sz w:val="32"/>
                <w:szCs w:val="32"/>
              </w:rPr>
              <w:t>1.0</w:t>
            </w:r>
          </w:p>
        </w:tc>
        <w:tc>
          <w:tcPr>
            <w:tcW w:w="2060" w:type="dxa"/>
            <w:vAlign w:val="top"/>
          </w:tcPr>
          <w:p w14:paraId="44D1E9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"/>
                <w:position w:val="1"/>
                <w:sz w:val="32"/>
                <w:szCs w:val="32"/>
              </w:rPr>
              <w:t>≤0.5</w:t>
            </w:r>
          </w:p>
        </w:tc>
      </w:tr>
      <w:tr w14:paraId="47B596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667" w:type="dxa"/>
            <w:vAlign w:val="top"/>
          </w:tcPr>
          <w:p w14:paraId="7C9D34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</w:rPr>
              <w:t>二级</w:t>
            </w:r>
          </w:p>
        </w:tc>
        <w:tc>
          <w:tcPr>
            <w:tcW w:w="2106" w:type="dxa"/>
            <w:vAlign w:val="top"/>
          </w:tcPr>
          <w:p w14:paraId="56EA0C9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8"/>
                <w:sz w:val="32"/>
                <w:szCs w:val="32"/>
              </w:rPr>
              <w:t>1.2</w:t>
            </w:r>
          </w:p>
        </w:tc>
        <w:tc>
          <w:tcPr>
            <w:tcW w:w="2106" w:type="dxa"/>
            <w:vAlign w:val="top"/>
          </w:tcPr>
          <w:p w14:paraId="6047124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5"/>
                <w:sz w:val="32"/>
                <w:szCs w:val="32"/>
              </w:rPr>
              <w:t>0.8</w:t>
            </w:r>
          </w:p>
        </w:tc>
        <w:tc>
          <w:tcPr>
            <w:tcW w:w="2060" w:type="dxa"/>
            <w:vAlign w:val="top"/>
          </w:tcPr>
          <w:p w14:paraId="13A3CF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≤0.3</w:t>
            </w:r>
          </w:p>
        </w:tc>
      </w:tr>
      <w:tr w14:paraId="760F3F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667" w:type="dxa"/>
            <w:vAlign w:val="top"/>
          </w:tcPr>
          <w:p w14:paraId="2CE8F9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2"/>
                <w:sz w:val="32"/>
                <w:szCs w:val="32"/>
              </w:rPr>
              <w:t>三级</w:t>
            </w:r>
          </w:p>
        </w:tc>
        <w:tc>
          <w:tcPr>
            <w:tcW w:w="2106" w:type="dxa"/>
            <w:vAlign w:val="top"/>
          </w:tcPr>
          <w:p w14:paraId="33C9BC8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8"/>
                <w:sz w:val="32"/>
                <w:szCs w:val="32"/>
              </w:rPr>
              <w:t>1.0</w:t>
            </w:r>
          </w:p>
        </w:tc>
        <w:tc>
          <w:tcPr>
            <w:tcW w:w="2106" w:type="dxa"/>
            <w:vAlign w:val="top"/>
          </w:tcPr>
          <w:p w14:paraId="270AB20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5"/>
                <w:sz w:val="32"/>
                <w:szCs w:val="32"/>
              </w:rPr>
              <w:t>0.6</w:t>
            </w:r>
          </w:p>
        </w:tc>
        <w:tc>
          <w:tcPr>
            <w:tcW w:w="2060" w:type="dxa"/>
            <w:vAlign w:val="top"/>
          </w:tcPr>
          <w:p w14:paraId="33C879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"/>
                <w:position w:val="1"/>
                <w:sz w:val="32"/>
                <w:szCs w:val="32"/>
              </w:rPr>
              <w:t>≤0.1</w:t>
            </w:r>
          </w:p>
        </w:tc>
      </w:tr>
    </w:tbl>
    <w:p w14:paraId="2F7643F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" w:line="560" w:lineRule="exact"/>
        <w:ind w:left="190" w:right="167" w:firstLine="429"/>
        <w:jc w:val="both"/>
        <w:textAlignment w:val="baseline"/>
        <w:rPr>
          <w:rFonts w:hint="eastAsia" w:ascii="仿宋" w:hAnsi="仿宋" w:eastAsia="仿宋" w:cs="仿宋"/>
          <w:spacing w:val="9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spacing w:val="9"/>
          <w:sz w:val="32"/>
          <w:szCs w:val="32"/>
          <w:highlight w:val="none"/>
          <w:shd w:val="clear" w:color="auto" w:fill="auto"/>
          <w:lang w:val="en-US" w:eastAsia="en-US"/>
        </w:rPr>
        <w:t>2.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  <w:shd w:val="clear" w:color="auto" w:fill="auto"/>
        </w:rPr>
        <w:t>各级学生社团主要负责人，依据工作实绩，由指导部门考核，参照学生干部奖励分标准给分。如：党支部副书记按照二级学生干部加分；校辩论队队长依照学生社团负责人加分；求索网站/校学通社学生干部加分按照校党委宣传部的建议标准加分；院双创社团负责人按一级学生干部。</w:t>
      </w:r>
    </w:p>
    <w:p w14:paraId="20C4D24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7" w:line="560" w:lineRule="exact"/>
        <w:ind w:left="62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5"/>
          <w:sz w:val="32"/>
          <w:szCs w:val="32"/>
        </w:rPr>
        <w:t>（三）文体活动能力</w:t>
      </w:r>
    </w:p>
    <w:p w14:paraId="7FA6E74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" w:line="560" w:lineRule="exact"/>
        <w:ind w:left="190" w:right="167" w:firstLine="429"/>
        <w:jc w:val="both"/>
        <w:textAlignment w:val="baseline"/>
        <w:rPr>
          <w:rFonts w:hint="eastAsia" w:ascii="仿宋" w:hAnsi="仿宋" w:eastAsia="仿宋" w:cs="仿宋"/>
          <w:spacing w:val="5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spacing w:val="9"/>
          <w:sz w:val="32"/>
          <w:szCs w:val="32"/>
        </w:rPr>
        <w:t>1.参加文艺、体育活动和其它相关活动取得一定成绩的按照</w:t>
      </w:r>
      <w:r>
        <w:rPr>
          <w:rFonts w:hint="eastAsia" w:ascii="仿宋" w:hAnsi="仿宋" w:eastAsia="仿宋" w:cs="仿宋"/>
          <w:spacing w:val="6"/>
          <w:sz w:val="32"/>
          <w:szCs w:val="32"/>
        </w:rPr>
        <w:t>本条加分。集体项目的主力队员按下述名次标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  <w:shd w:val="clear" w:color="auto" w:fill="auto"/>
        </w:rPr>
        <w:t>准加分,非主力队员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  <w:shd w:val="clear" w:color="auto" w:fill="auto"/>
        </w:rPr>
        <w:t>按下表标准的2/3加分。同一项目获多级奖励时，取高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auto"/>
        </w:rPr>
        <w:t>限，不累</w:t>
      </w:r>
      <w:r>
        <w:rPr>
          <w:rFonts w:hint="eastAsia" w:ascii="仿宋" w:hAnsi="仿宋" w:eastAsia="仿宋" w:cs="仿宋"/>
          <w:spacing w:val="5"/>
          <w:sz w:val="32"/>
          <w:szCs w:val="32"/>
          <w:highlight w:val="none"/>
          <w:shd w:val="clear" w:color="auto" w:fill="auto"/>
        </w:rPr>
        <w:t>计加分。参加全国大学生田径锦标赛、马拉松、自行车等体育赛事活动，取得前八名的，则依照主办单位定等级，按照下表加分。</w:t>
      </w:r>
    </w:p>
    <w:p w14:paraId="0AAB561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" w:line="560" w:lineRule="exact"/>
        <w:ind w:left="190" w:right="167" w:firstLine="429"/>
        <w:jc w:val="both"/>
        <w:textAlignment w:val="baseline"/>
        <w:rPr>
          <w:rFonts w:hint="eastAsia" w:ascii="仿宋" w:hAnsi="仿宋" w:eastAsia="仿宋" w:cs="仿宋"/>
          <w:spacing w:val="5"/>
          <w:sz w:val="32"/>
          <w:szCs w:val="32"/>
          <w:highlight w:val="none"/>
          <w:shd w:val="clear" w:color="auto" w:fill="auto"/>
        </w:rPr>
      </w:pPr>
    </w:p>
    <w:p w14:paraId="0C17006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" w:line="560" w:lineRule="exact"/>
        <w:ind w:left="190" w:right="167" w:firstLine="429"/>
        <w:jc w:val="both"/>
        <w:textAlignment w:val="baseline"/>
        <w:rPr>
          <w:rFonts w:hint="eastAsia" w:ascii="仿宋" w:hAnsi="仿宋" w:eastAsia="仿宋" w:cs="仿宋"/>
          <w:spacing w:val="5"/>
          <w:sz w:val="32"/>
          <w:szCs w:val="32"/>
          <w:highlight w:val="none"/>
          <w:shd w:val="clear" w:color="auto" w:fill="auto"/>
        </w:rPr>
      </w:pPr>
    </w:p>
    <w:p w14:paraId="73DD295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" w:line="560" w:lineRule="exact"/>
        <w:ind w:left="190" w:right="167" w:firstLine="429"/>
        <w:jc w:val="both"/>
        <w:textAlignment w:val="baseline"/>
        <w:rPr>
          <w:rFonts w:hint="eastAsia" w:ascii="仿宋" w:hAnsi="仿宋" w:eastAsia="仿宋" w:cs="仿宋"/>
          <w:spacing w:val="5"/>
          <w:sz w:val="32"/>
          <w:szCs w:val="32"/>
          <w:highlight w:val="none"/>
          <w:shd w:val="clear" w:color="auto" w:fill="auto"/>
        </w:rPr>
      </w:pPr>
    </w:p>
    <w:p w14:paraId="4D46E72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" w:line="560" w:lineRule="exact"/>
        <w:ind w:left="190" w:right="167" w:firstLine="429"/>
        <w:jc w:val="both"/>
        <w:textAlignment w:val="baseline"/>
        <w:rPr>
          <w:rFonts w:hint="eastAsia" w:ascii="仿宋" w:hAnsi="仿宋" w:eastAsia="仿宋" w:cs="仿宋"/>
          <w:spacing w:val="5"/>
          <w:sz w:val="32"/>
          <w:szCs w:val="32"/>
          <w:highlight w:val="none"/>
          <w:shd w:val="clear" w:color="auto" w:fill="auto"/>
        </w:rPr>
      </w:pPr>
    </w:p>
    <w:p w14:paraId="01F9FB1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" w:line="560" w:lineRule="exact"/>
        <w:ind w:left="190" w:right="167" w:firstLine="429"/>
        <w:jc w:val="both"/>
        <w:textAlignment w:val="baseline"/>
        <w:rPr>
          <w:rFonts w:hint="eastAsia" w:ascii="仿宋" w:hAnsi="仿宋" w:eastAsia="仿宋" w:cs="仿宋"/>
          <w:spacing w:val="5"/>
          <w:sz w:val="32"/>
          <w:szCs w:val="32"/>
          <w:highlight w:val="none"/>
          <w:shd w:val="clear" w:color="auto" w:fill="auto"/>
        </w:rPr>
      </w:pPr>
    </w:p>
    <w:p w14:paraId="612278A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" w:line="560" w:lineRule="exact"/>
        <w:ind w:left="190" w:right="167" w:firstLine="429"/>
        <w:jc w:val="both"/>
        <w:textAlignment w:val="baseline"/>
        <w:rPr>
          <w:rFonts w:hint="eastAsia" w:ascii="仿宋" w:hAnsi="仿宋" w:eastAsia="仿宋" w:cs="仿宋"/>
          <w:spacing w:val="5"/>
          <w:sz w:val="32"/>
          <w:szCs w:val="32"/>
          <w:highlight w:val="none"/>
          <w:shd w:val="clear" w:color="auto" w:fill="auto"/>
        </w:rPr>
      </w:pPr>
    </w:p>
    <w:p w14:paraId="7AF4F66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" w:line="560" w:lineRule="exact"/>
        <w:ind w:left="190" w:right="167" w:firstLine="429"/>
        <w:jc w:val="both"/>
        <w:textAlignment w:val="baseline"/>
        <w:rPr>
          <w:rFonts w:hint="eastAsia" w:ascii="仿宋" w:hAnsi="仿宋" w:eastAsia="仿宋" w:cs="仿宋"/>
          <w:spacing w:val="5"/>
          <w:sz w:val="32"/>
          <w:szCs w:val="32"/>
          <w:highlight w:val="none"/>
          <w:shd w:val="clear" w:color="auto" w:fill="auto"/>
        </w:rPr>
      </w:pPr>
    </w:p>
    <w:p w14:paraId="1671CFD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" w:line="560" w:lineRule="exact"/>
        <w:ind w:left="190" w:right="167" w:firstLine="429"/>
        <w:jc w:val="both"/>
        <w:textAlignment w:val="baseline"/>
        <w:rPr>
          <w:rFonts w:hint="eastAsia" w:ascii="仿宋" w:hAnsi="仿宋" w:eastAsia="仿宋" w:cs="仿宋"/>
          <w:spacing w:val="5"/>
          <w:sz w:val="32"/>
          <w:szCs w:val="32"/>
          <w:highlight w:val="none"/>
          <w:shd w:val="clear" w:color="auto" w:fill="auto"/>
        </w:rPr>
      </w:pPr>
    </w:p>
    <w:p w14:paraId="4BEDCAD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6" w:after="0" w:afterLines="50" w:line="560" w:lineRule="exact"/>
        <w:jc w:val="center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9"/>
          <w:sz w:val="32"/>
          <w:szCs w:val="32"/>
        </w:rPr>
        <w:t>体育竞赛加分标准一览表</w:t>
      </w:r>
    </w:p>
    <w:tbl>
      <w:tblPr>
        <w:tblStyle w:val="8"/>
        <w:tblW w:w="787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714"/>
        <w:gridCol w:w="657"/>
        <w:gridCol w:w="633"/>
        <w:gridCol w:w="677"/>
        <w:gridCol w:w="714"/>
        <w:gridCol w:w="715"/>
        <w:gridCol w:w="715"/>
        <w:gridCol w:w="657"/>
        <w:gridCol w:w="733"/>
      </w:tblGrid>
      <w:tr w14:paraId="529BF7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5" w:hRule="atLeast"/>
          <w:jc w:val="center"/>
        </w:trPr>
        <w:tc>
          <w:tcPr>
            <w:tcW w:w="1661" w:type="dxa"/>
            <w:vAlign w:val="top"/>
          </w:tcPr>
          <w:p w14:paraId="6F3EAA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560" w:lineRule="exact"/>
              <w:ind w:firstLine="960" w:firstLineChars="3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17145</wp:posOffset>
                  </wp:positionV>
                  <wp:extent cx="1028065" cy="1451610"/>
                  <wp:effectExtent l="0" t="0" r="8255" b="11430"/>
                  <wp:wrapNone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065" cy="145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</w:rPr>
              <w:t>名次</w:t>
            </w:r>
          </w:p>
          <w:p w14:paraId="0078F2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firstLine="984" w:firstLineChars="300"/>
              <w:jc w:val="both"/>
              <w:textAlignment w:val="baseline"/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4"/>
                <w:sz w:val="32"/>
                <w:szCs w:val="32"/>
              </w:rPr>
              <w:t>加分</w:t>
            </w:r>
          </w:p>
          <w:p w14:paraId="45F87F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560" w:lineRule="exact"/>
              <w:ind w:right="137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  <w:t>标准</w:t>
            </w: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</w:rPr>
              <w:t>级别</w:t>
            </w:r>
          </w:p>
        </w:tc>
        <w:tc>
          <w:tcPr>
            <w:tcW w:w="714" w:type="dxa"/>
            <w:textDirection w:val="tbRlV"/>
            <w:vAlign w:val="top"/>
          </w:tcPr>
          <w:p w14:paraId="65B6F6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560" w:lineRule="exact"/>
              <w:ind w:left="414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2"/>
                <w:sz w:val="32"/>
                <w:szCs w:val="32"/>
              </w:rPr>
              <w:t>破记录</w:t>
            </w:r>
          </w:p>
        </w:tc>
        <w:tc>
          <w:tcPr>
            <w:tcW w:w="657" w:type="dxa"/>
            <w:vAlign w:val="top"/>
          </w:tcPr>
          <w:p w14:paraId="591A94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4A98C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C103B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560" w:lineRule="exact"/>
              <w:ind w:firstLine="320" w:firstLineChars="1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-3"/>
                <w:sz w:val="32"/>
                <w:szCs w:val="32"/>
              </w:rPr>
              <w:t>一</w:t>
            </w:r>
          </w:p>
        </w:tc>
        <w:tc>
          <w:tcPr>
            <w:tcW w:w="633" w:type="dxa"/>
            <w:vAlign w:val="top"/>
          </w:tcPr>
          <w:p w14:paraId="20A8CE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680AF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DD5E6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560" w:lineRule="exact"/>
              <w:ind w:left="153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</w:t>
            </w:r>
          </w:p>
        </w:tc>
        <w:tc>
          <w:tcPr>
            <w:tcW w:w="677" w:type="dxa"/>
            <w:vAlign w:val="top"/>
          </w:tcPr>
          <w:p w14:paraId="422FC4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5C96FF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BD3FD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560" w:lineRule="exact"/>
              <w:ind w:left="172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1"/>
                <w:sz w:val="32"/>
                <w:szCs w:val="32"/>
              </w:rPr>
              <w:t>三</w:t>
            </w:r>
          </w:p>
        </w:tc>
        <w:tc>
          <w:tcPr>
            <w:tcW w:w="714" w:type="dxa"/>
            <w:vAlign w:val="top"/>
          </w:tcPr>
          <w:p w14:paraId="35DE69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F5A7B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848D2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560" w:lineRule="exact"/>
              <w:ind w:left="197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四</w:t>
            </w:r>
          </w:p>
        </w:tc>
        <w:tc>
          <w:tcPr>
            <w:tcW w:w="715" w:type="dxa"/>
            <w:vAlign w:val="top"/>
          </w:tcPr>
          <w:p w14:paraId="39170F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60C0B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5A7A3C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560" w:lineRule="exact"/>
              <w:ind w:left="193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1"/>
                <w:sz w:val="32"/>
                <w:szCs w:val="32"/>
              </w:rPr>
              <w:t>五</w:t>
            </w:r>
          </w:p>
        </w:tc>
        <w:tc>
          <w:tcPr>
            <w:tcW w:w="715" w:type="dxa"/>
            <w:vAlign w:val="top"/>
          </w:tcPr>
          <w:p w14:paraId="05924B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BB4D6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279F1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560" w:lineRule="exact"/>
              <w:ind w:left="195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六</w:t>
            </w:r>
          </w:p>
        </w:tc>
        <w:tc>
          <w:tcPr>
            <w:tcW w:w="657" w:type="dxa"/>
            <w:textDirection w:val="tbRlV"/>
            <w:vAlign w:val="top"/>
          </w:tcPr>
          <w:p w14:paraId="22F176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4" w:line="560" w:lineRule="exact"/>
              <w:ind w:left="414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</w:rPr>
              <w:t>七</w:t>
            </w:r>
            <w:r>
              <w:rPr>
                <w:rFonts w:hint="eastAsia" w:ascii="仿宋" w:hAnsi="仿宋" w:eastAsia="仿宋" w:cs="仿宋"/>
                <w:spacing w:val="8"/>
                <w:position w:val="-5"/>
                <w:sz w:val="32"/>
                <w:szCs w:val="32"/>
              </w:rPr>
              <w:t>、</w:t>
            </w: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</w:rPr>
              <w:t>八</w:t>
            </w:r>
          </w:p>
        </w:tc>
        <w:tc>
          <w:tcPr>
            <w:tcW w:w="733" w:type="dxa"/>
            <w:textDirection w:val="tbRlV"/>
            <w:vAlign w:val="top"/>
          </w:tcPr>
          <w:p w14:paraId="771DC3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8" w:line="560" w:lineRule="exact"/>
              <w:ind w:left="414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2"/>
                <w:sz w:val="32"/>
                <w:szCs w:val="32"/>
              </w:rPr>
              <w:t>未获奖</w:t>
            </w:r>
          </w:p>
        </w:tc>
      </w:tr>
      <w:tr w14:paraId="3CB944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661" w:type="dxa"/>
            <w:vAlign w:val="top"/>
          </w:tcPr>
          <w:p w14:paraId="5891CE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2"/>
                <w:sz w:val="32"/>
                <w:szCs w:val="32"/>
              </w:rPr>
              <w:t>国家级</w:t>
            </w:r>
          </w:p>
        </w:tc>
        <w:tc>
          <w:tcPr>
            <w:tcW w:w="714" w:type="dxa"/>
            <w:vAlign w:val="top"/>
          </w:tcPr>
          <w:p w14:paraId="06FB503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560" w:lineRule="exact"/>
              <w:ind w:left="15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6"/>
                <w:sz w:val="32"/>
                <w:szCs w:val="32"/>
              </w:rPr>
              <w:t>5.0</w:t>
            </w:r>
          </w:p>
        </w:tc>
        <w:tc>
          <w:tcPr>
            <w:tcW w:w="657" w:type="dxa"/>
            <w:vAlign w:val="top"/>
          </w:tcPr>
          <w:p w14:paraId="262B21A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560" w:lineRule="exact"/>
              <w:ind w:left="125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4"/>
                <w:sz w:val="32"/>
                <w:szCs w:val="32"/>
              </w:rPr>
              <w:t>4.4</w:t>
            </w:r>
          </w:p>
        </w:tc>
        <w:tc>
          <w:tcPr>
            <w:tcW w:w="633" w:type="dxa"/>
            <w:vAlign w:val="top"/>
          </w:tcPr>
          <w:p w14:paraId="27B823F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560" w:lineRule="exact"/>
              <w:ind w:left="117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4"/>
                <w:sz w:val="32"/>
                <w:szCs w:val="32"/>
              </w:rPr>
              <w:t>4.0</w:t>
            </w:r>
          </w:p>
        </w:tc>
        <w:tc>
          <w:tcPr>
            <w:tcW w:w="677" w:type="dxa"/>
            <w:vAlign w:val="top"/>
          </w:tcPr>
          <w:p w14:paraId="6A1357A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560" w:lineRule="exact"/>
              <w:ind w:left="141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6"/>
                <w:sz w:val="32"/>
                <w:szCs w:val="32"/>
              </w:rPr>
              <w:t>3.6</w:t>
            </w:r>
          </w:p>
        </w:tc>
        <w:tc>
          <w:tcPr>
            <w:tcW w:w="714" w:type="dxa"/>
            <w:vAlign w:val="top"/>
          </w:tcPr>
          <w:p w14:paraId="0C2ED61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560" w:lineRule="exact"/>
              <w:ind w:left="158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6"/>
                <w:sz w:val="32"/>
                <w:szCs w:val="32"/>
              </w:rPr>
              <w:t>3.2</w:t>
            </w:r>
          </w:p>
        </w:tc>
        <w:tc>
          <w:tcPr>
            <w:tcW w:w="715" w:type="dxa"/>
            <w:vAlign w:val="top"/>
          </w:tcPr>
          <w:p w14:paraId="075DDC2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560" w:lineRule="exact"/>
              <w:ind w:left="162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6"/>
                <w:sz w:val="32"/>
                <w:szCs w:val="32"/>
              </w:rPr>
              <w:t>2.8</w:t>
            </w:r>
          </w:p>
        </w:tc>
        <w:tc>
          <w:tcPr>
            <w:tcW w:w="715" w:type="dxa"/>
            <w:vAlign w:val="top"/>
          </w:tcPr>
          <w:p w14:paraId="5BF48BA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560" w:lineRule="exact"/>
              <w:ind w:left="166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6"/>
                <w:sz w:val="32"/>
                <w:szCs w:val="32"/>
              </w:rPr>
              <w:t>2.4</w:t>
            </w:r>
          </w:p>
        </w:tc>
        <w:tc>
          <w:tcPr>
            <w:tcW w:w="657" w:type="dxa"/>
            <w:vAlign w:val="top"/>
          </w:tcPr>
          <w:p w14:paraId="3D2A526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560" w:lineRule="exact"/>
              <w:ind w:left="143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6"/>
                <w:sz w:val="32"/>
                <w:szCs w:val="32"/>
              </w:rPr>
              <w:t>2.0</w:t>
            </w:r>
          </w:p>
        </w:tc>
        <w:tc>
          <w:tcPr>
            <w:tcW w:w="733" w:type="dxa"/>
            <w:vAlign w:val="top"/>
          </w:tcPr>
          <w:p w14:paraId="471CF1E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560" w:lineRule="exact"/>
              <w:ind w:left="175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8"/>
                <w:sz w:val="32"/>
                <w:szCs w:val="32"/>
              </w:rPr>
              <w:t>1.0</w:t>
            </w:r>
          </w:p>
        </w:tc>
      </w:tr>
      <w:tr w14:paraId="182A36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661" w:type="dxa"/>
            <w:vAlign w:val="top"/>
          </w:tcPr>
          <w:p w14:paraId="40EECB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</w:rPr>
              <w:t>省级</w:t>
            </w:r>
          </w:p>
        </w:tc>
        <w:tc>
          <w:tcPr>
            <w:tcW w:w="714" w:type="dxa"/>
            <w:vAlign w:val="top"/>
          </w:tcPr>
          <w:p w14:paraId="7FC7ABE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line="560" w:lineRule="exact"/>
              <w:ind w:left="15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6"/>
                <w:sz w:val="32"/>
                <w:szCs w:val="32"/>
              </w:rPr>
              <w:t>3.0</w:t>
            </w:r>
          </w:p>
        </w:tc>
        <w:tc>
          <w:tcPr>
            <w:tcW w:w="657" w:type="dxa"/>
            <w:vAlign w:val="top"/>
          </w:tcPr>
          <w:p w14:paraId="01A7640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line="560" w:lineRule="exact"/>
              <w:ind w:left="132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6"/>
                <w:sz w:val="32"/>
                <w:szCs w:val="32"/>
              </w:rPr>
              <w:t>2.0</w:t>
            </w:r>
          </w:p>
        </w:tc>
        <w:tc>
          <w:tcPr>
            <w:tcW w:w="633" w:type="dxa"/>
            <w:vAlign w:val="top"/>
          </w:tcPr>
          <w:p w14:paraId="4D78AD3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line="560" w:lineRule="exact"/>
              <w:ind w:left="13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8"/>
                <w:sz w:val="32"/>
                <w:szCs w:val="32"/>
              </w:rPr>
              <w:t>1.6</w:t>
            </w:r>
          </w:p>
        </w:tc>
        <w:tc>
          <w:tcPr>
            <w:tcW w:w="677" w:type="dxa"/>
            <w:vAlign w:val="top"/>
          </w:tcPr>
          <w:p w14:paraId="25C64EB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560" w:lineRule="exact"/>
              <w:ind w:left="149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8"/>
                <w:sz w:val="32"/>
                <w:szCs w:val="32"/>
              </w:rPr>
              <w:t>1.4</w:t>
            </w:r>
          </w:p>
        </w:tc>
        <w:tc>
          <w:tcPr>
            <w:tcW w:w="714" w:type="dxa"/>
            <w:vAlign w:val="top"/>
          </w:tcPr>
          <w:p w14:paraId="6B4ED73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line="560" w:lineRule="exact"/>
              <w:ind w:left="166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8"/>
                <w:sz w:val="32"/>
                <w:szCs w:val="32"/>
              </w:rPr>
              <w:t>1.2</w:t>
            </w:r>
          </w:p>
        </w:tc>
        <w:tc>
          <w:tcPr>
            <w:tcW w:w="715" w:type="dxa"/>
            <w:vAlign w:val="top"/>
          </w:tcPr>
          <w:p w14:paraId="0F00938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line="560" w:lineRule="exact"/>
              <w:ind w:left="168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8"/>
                <w:sz w:val="32"/>
                <w:szCs w:val="32"/>
              </w:rPr>
              <w:t>1.0</w:t>
            </w:r>
          </w:p>
        </w:tc>
        <w:tc>
          <w:tcPr>
            <w:tcW w:w="715" w:type="dxa"/>
            <w:vAlign w:val="top"/>
          </w:tcPr>
          <w:p w14:paraId="69DE383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line="560" w:lineRule="exact"/>
              <w:ind w:left="161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5"/>
                <w:sz w:val="32"/>
                <w:szCs w:val="32"/>
              </w:rPr>
              <w:t>0.8</w:t>
            </w:r>
          </w:p>
        </w:tc>
        <w:tc>
          <w:tcPr>
            <w:tcW w:w="657" w:type="dxa"/>
            <w:vAlign w:val="top"/>
          </w:tcPr>
          <w:p w14:paraId="537BFDD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line="560" w:lineRule="exact"/>
              <w:ind w:left="139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5"/>
                <w:sz w:val="32"/>
                <w:szCs w:val="32"/>
              </w:rPr>
              <w:t>0.5</w:t>
            </w:r>
          </w:p>
        </w:tc>
        <w:tc>
          <w:tcPr>
            <w:tcW w:w="733" w:type="dxa"/>
            <w:vAlign w:val="top"/>
          </w:tcPr>
          <w:p w14:paraId="6CAD7B3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line="560" w:lineRule="exact"/>
              <w:ind w:left="165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5"/>
                <w:sz w:val="32"/>
                <w:szCs w:val="32"/>
              </w:rPr>
              <w:t>0.3</w:t>
            </w:r>
          </w:p>
        </w:tc>
      </w:tr>
      <w:tr w14:paraId="7DECB5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661" w:type="dxa"/>
            <w:vAlign w:val="top"/>
          </w:tcPr>
          <w:p w14:paraId="0BDCE0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  <w:t>市、校级</w:t>
            </w:r>
          </w:p>
        </w:tc>
        <w:tc>
          <w:tcPr>
            <w:tcW w:w="714" w:type="dxa"/>
            <w:vAlign w:val="top"/>
          </w:tcPr>
          <w:p w14:paraId="77C0EF4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560" w:lineRule="exact"/>
              <w:ind w:left="157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8"/>
                <w:sz w:val="32"/>
                <w:szCs w:val="32"/>
              </w:rPr>
              <w:t>1.2</w:t>
            </w:r>
          </w:p>
        </w:tc>
        <w:tc>
          <w:tcPr>
            <w:tcW w:w="657" w:type="dxa"/>
            <w:vAlign w:val="top"/>
          </w:tcPr>
          <w:p w14:paraId="751CAF6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560" w:lineRule="exact"/>
              <w:ind w:left="128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5"/>
                <w:sz w:val="32"/>
                <w:szCs w:val="32"/>
              </w:rPr>
              <w:t>0.9</w:t>
            </w:r>
          </w:p>
        </w:tc>
        <w:tc>
          <w:tcPr>
            <w:tcW w:w="633" w:type="dxa"/>
            <w:vAlign w:val="top"/>
          </w:tcPr>
          <w:p w14:paraId="1BEBCD9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560" w:lineRule="exact"/>
              <w:ind w:left="12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5"/>
                <w:sz w:val="32"/>
                <w:szCs w:val="32"/>
              </w:rPr>
              <w:t>0.8</w:t>
            </w:r>
          </w:p>
        </w:tc>
        <w:tc>
          <w:tcPr>
            <w:tcW w:w="677" w:type="dxa"/>
            <w:vAlign w:val="top"/>
          </w:tcPr>
          <w:p w14:paraId="5CED19C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560" w:lineRule="exact"/>
              <w:ind w:left="138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5"/>
                <w:sz w:val="32"/>
                <w:szCs w:val="32"/>
              </w:rPr>
              <w:t>0.7</w:t>
            </w:r>
          </w:p>
        </w:tc>
        <w:tc>
          <w:tcPr>
            <w:tcW w:w="714" w:type="dxa"/>
            <w:vAlign w:val="top"/>
          </w:tcPr>
          <w:p w14:paraId="72908D9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560" w:lineRule="exact"/>
              <w:ind w:left="155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5"/>
                <w:sz w:val="32"/>
                <w:szCs w:val="32"/>
              </w:rPr>
              <w:t>0.6</w:t>
            </w:r>
          </w:p>
        </w:tc>
        <w:tc>
          <w:tcPr>
            <w:tcW w:w="715" w:type="dxa"/>
            <w:vAlign w:val="top"/>
          </w:tcPr>
          <w:p w14:paraId="57EECA8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560" w:lineRule="exact"/>
              <w:ind w:left="158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5"/>
                <w:sz w:val="32"/>
                <w:szCs w:val="32"/>
              </w:rPr>
              <w:t>0.5</w:t>
            </w:r>
          </w:p>
        </w:tc>
        <w:tc>
          <w:tcPr>
            <w:tcW w:w="715" w:type="dxa"/>
            <w:vAlign w:val="top"/>
          </w:tcPr>
          <w:p w14:paraId="5DA1588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560" w:lineRule="exact"/>
              <w:ind w:left="161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5"/>
                <w:sz w:val="32"/>
                <w:szCs w:val="32"/>
              </w:rPr>
              <w:t>0.4</w:t>
            </w:r>
          </w:p>
        </w:tc>
        <w:tc>
          <w:tcPr>
            <w:tcW w:w="657" w:type="dxa"/>
            <w:vAlign w:val="top"/>
          </w:tcPr>
          <w:p w14:paraId="78228DE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560" w:lineRule="exact"/>
              <w:ind w:left="139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5"/>
                <w:sz w:val="32"/>
                <w:szCs w:val="32"/>
              </w:rPr>
              <w:t>0.3</w:t>
            </w:r>
          </w:p>
        </w:tc>
        <w:tc>
          <w:tcPr>
            <w:tcW w:w="733" w:type="dxa"/>
            <w:tcBorders>
              <w:tr2bl w:val="single" w:color="000000" w:sz="4" w:space="0"/>
            </w:tcBorders>
            <w:vAlign w:val="top"/>
          </w:tcPr>
          <w:p w14:paraId="7E0F86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D377D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661" w:type="dxa"/>
            <w:vAlign w:val="top"/>
          </w:tcPr>
          <w:p w14:paraId="5CC409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院级</w:t>
            </w:r>
          </w:p>
        </w:tc>
        <w:tc>
          <w:tcPr>
            <w:tcW w:w="714" w:type="dxa"/>
            <w:vAlign w:val="top"/>
          </w:tcPr>
          <w:p w14:paraId="7BCFA9C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560" w:lineRule="exact"/>
              <w:ind w:left="147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5"/>
                <w:sz w:val="32"/>
                <w:szCs w:val="32"/>
              </w:rPr>
              <w:t>0.8</w:t>
            </w:r>
          </w:p>
        </w:tc>
        <w:tc>
          <w:tcPr>
            <w:tcW w:w="657" w:type="dxa"/>
            <w:vAlign w:val="top"/>
          </w:tcPr>
          <w:p w14:paraId="6F93613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560" w:lineRule="exact"/>
              <w:ind w:left="128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5"/>
                <w:sz w:val="32"/>
                <w:szCs w:val="32"/>
              </w:rPr>
              <w:t>0.7</w:t>
            </w:r>
          </w:p>
        </w:tc>
        <w:tc>
          <w:tcPr>
            <w:tcW w:w="633" w:type="dxa"/>
            <w:vAlign w:val="top"/>
          </w:tcPr>
          <w:p w14:paraId="1AC1C75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560" w:lineRule="exact"/>
              <w:ind w:left="12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5"/>
                <w:sz w:val="32"/>
                <w:szCs w:val="32"/>
              </w:rPr>
              <w:t>0.6</w:t>
            </w:r>
          </w:p>
        </w:tc>
        <w:tc>
          <w:tcPr>
            <w:tcW w:w="677" w:type="dxa"/>
            <w:vAlign w:val="top"/>
          </w:tcPr>
          <w:p w14:paraId="3C94677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560" w:lineRule="exact"/>
              <w:ind w:left="138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5"/>
                <w:sz w:val="32"/>
                <w:szCs w:val="32"/>
              </w:rPr>
              <w:t>0.5</w:t>
            </w:r>
          </w:p>
        </w:tc>
        <w:tc>
          <w:tcPr>
            <w:tcW w:w="714" w:type="dxa"/>
            <w:vAlign w:val="top"/>
          </w:tcPr>
          <w:p w14:paraId="4EC7843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560" w:lineRule="exact"/>
              <w:ind w:left="155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5"/>
                <w:sz w:val="32"/>
                <w:szCs w:val="32"/>
              </w:rPr>
              <w:t>0.4</w:t>
            </w:r>
          </w:p>
        </w:tc>
        <w:tc>
          <w:tcPr>
            <w:tcW w:w="715" w:type="dxa"/>
            <w:vAlign w:val="top"/>
          </w:tcPr>
          <w:p w14:paraId="0363895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560" w:lineRule="exact"/>
              <w:ind w:left="158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5"/>
                <w:sz w:val="32"/>
                <w:szCs w:val="32"/>
              </w:rPr>
              <w:t>0.3</w:t>
            </w:r>
          </w:p>
        </w:tc>
        <w:tc>
          <w:tcPr>
            <w:tcW w:w="715" w:type="dxa"/>
            <w:vAlign w:val="top"/>
          </w:tcPr>
          <w:p w14:paraId="16F0F69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560" w:lineRule="exact"/>
              <w:ind w:left="161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5"/>
                <w:sz w:val="32"/>
                <w:szCs w:val="32"/>
              </w:rPr>
              <w:t>0.2</w:t>
            </w:r>
          </w:p>
        </w:tc>
        <w:tc>
          <w:tcPr>
            <w:tcW w:w="657" w:type="dxa"/>
            <w:vAlign w:val="top"/>
          </w:tcPr>
          <w:p w14:paraId="13B42B0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560" w:lineRule="exact"/>
              <w:ind w:left="139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5"/>
                <w:sz w:val="32"/>
                <w:szCs w:val="32"/>
              </w:rPr>
              <w:t>0.1</w:t>
            </w:r>
          </w:p>
        </w:tc>
        <w:tc>
          <w:tcPr>
            <w:tcW w:w="733" w:type="dxa"/>
            <w:tcBorders>
              <w:tr2bl w:val="single" w:color="000000" w:sz="4" w:space="0"/>
            </w:tcBorders>
            <w:vAlign w:val="top"/>
          </w:tcPr>
          <w:p w14:paraId="397A80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6F5B47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jc w:val="both"/>
        <w:textAlignment w:val="baseline"/>
        <w:rPr>
          <w:rFonts w:hint="eastAsia" w:ascii="仿宋" w:hAnsi="仿宋" w:eastAsia="仿宋" w:cs="仿宋"/>
          <w:b/>
          <w:bCs/>
          <w:spacing w:val="9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注：此类累加分最高限一般为3.0分；凡参加国家级以上体</w:t>
      </w:r>
      <w:r>
        <w:rPr>
          <w:rFonts w:hint="eastAsia" w:ascii="仿宋" w:hAnsi="仿宋" w:eastAsia="仿宋" w:cs="仿宋"/>
          <w:spacing w:val="4"/>
          <w:sz w:val="32"/>
          <w:szCs w:val="32"/>
        </w:rPr>
        <w:t>育比赛，取得名次，最高分限可达5.0分。</w:t>
      </w:r>
    </w:p>
    <w:p w14:paraId="10C77B5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after="0" w:afterLines="50" w:line="560" w:lineRule="exact"/>
        <w:jc w:val="center"/>
        <w:textAlignment w:val="baseline"/>
        <w:rPr>
          <w:rFonts w:hint="eastAsia"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9"/>
          <w:sz w:val="32"/>
          <w:szCs w:val="32"/>
        </w:rPr>
        <w:t>文艺活动、其它各类文体</w:t>
      </w:r>
      <w:r>
        <w:rPr>
          <w:rFonts w:hint="eastAsia" w:ascii="仿宋" w:hAnsi="仿宋" w:eastAsia="仿宋" w:cs="仿宋"/>
          <w:b/>
          <w:bCs/>
          <w:spacing w:val="9"/>
          <w:sz w:val="32"/>
          <w:szCs w:val="32"/>
          <w:lang w:val="en-US" w:eastAsia="zh-CN"/>
        </w:rPr>
        <w:t>活动</w:t>
      </w:r>
      <w:r>
        <w:rPr>
          <w:rFonts w:hint="eastAsia" w:ascii="仿宋" w:hAnsi="仿宋" w:eastAsia="仿宋" w:cs="仿宋"/>
          <w:b/>
          <w:bCs/>
          <w:spacing w:val="9"/>
          <w:sz w:val="32"/>
          <w:szCs w:val="32"/>
        </w:rPr>
        <w:t>加分标准一览表</w:t>
      </w:r>
    </w:p>
    <w:tbl>
      <w:tblPr>
        <w:tblStyle w:val="8"/>
        <w:tblW w:w="779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9"/>
        <w:gridCol w:w="1169"/>
        <w:gridCol w:w="1284"/>
        <w:gridCol w:w="1191"/>
        <w:gridCol w:w="1370"/>
        <w:gridCol w:w="1084"/>
      </w:tblGrid>
      <w:tr w14:paraId="2C1E57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6" w:hRule="atLeast"/>
        </w:trPr>
        <w:tc>
          <w:tcPr>
            <w:tcW w:w="1699" w:type="dxa"/>
            <w:vAlign w:val="top"/>
          </w:tcPr>
          <w:p w14:paraId="42E6A4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560" w:lineRule="exact"/>
              <w:ind w:left="745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drawing>
                <wp:anchor distT="0" distB="0" distL="0" distR="0" simplePos="0" relativeHeight="251662336" behindDoc="1" locked="0" layoutInCell="1" allowOverlap="1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192405</wp:posOffset>
                  </wp:positionV>
                  <wp:extent cx="1054100" cy="1219835"/>
                  <wp:effectExtent l="0" t="0" r="12700" b="14605"/>
                  <wp:wrapNone/>
                  <wp:docPr id="9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219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</w:rPr>
              <w:t>奖项</w:t>
            </w:r>
          </w:p>
          <w:p w14:paraId="72E2E6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8" w:line="560" w:lineRule="exact"/>
              <w:ind w:left="215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  <w:t>加分标准</w:t>
            </w:r>
          </w:p>
          <w:p w14:paraId="53E8FD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560" w:lineRule="exact"/>
              <w:ind w:left="108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</w:rPr>
              <w:t>级别</w:t>
            </w:r>
          </w:p>
        </w:tc>
        <w:tc>
          <w:tcPr>
            <w:tcW w:w="1169" w:type="dxa"/>
            <w:vAlign w:val="top"/>
          </w:tcPr>
          <w:p w14:paraId="31BB7D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48DE3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3F124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>一等奖</w:t>
            </w:r>
          </w:p>
        </w:tc>
        <w:tc>
          <w:tcPr>
            <w:tcW w:w="1284" w:type="dxa"/>
            <w:vAlign w:val="top"/>
          </w:tcPr>
          <w:p w14:paraId="42064E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AE2C6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E1339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>二等奖</w:t>
            </w:r>
          </w:p>
        </w:tc>
        <w:tc>
          <w:tcPr>
            <w:tcW w:w="1191" w:type="dxa"/>
            <w:vAlign w:val="top"/>
          </w:tcPr>
          <w:p w14:paraId="297588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676DF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DA55B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>三等奖</w:t>
            </w:r>
          </w:p>
        </w:tc>
        <w:tc>
          <w:tcPr>
            <w:tcW w:w="1370" w:type="dxa"/>
            <w:vAlign w:val="top"/>
          </w:tcPr>
          <w:p w14:paraId="478E6E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58081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A9190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  <w:t>优秀奖</w:t>
            </w:r>
          </w:p>
        </w:tc>
        <w:tc>
          <w:tcPr>
            <w:tcW w:w="1084" w:type="dxa"/>
            <w:vAlign w:val="top"/>
          </w:tcPr>
          <w:p w14:paraId="49062D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EA3F4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53DC63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  <w:t>未获奖</w:t>
            </w:r>
          </w:p>
        </w:tc>
      </w:tr>
      <w:tr w14:paraId="0405E1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699" w:type="dxa"/>
            <w:vAlign w:val="top"/>
          </w:tcPr>
          <w:p w14:paraId="772289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  <w:t>省级以上</w:t>
            </w:r>
          </w:p>
        </w:tc>
        <w:tc>
          <w:tcPr>
            <w:tcW w:w="1169" w:type="dxa"/>
            <w:vAlign w:val="top"/>
          </w:tcPr>
          <w:p w14:paraId="6BEAAA6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6"/>
                <w:sz w:val="32"/>
                <w:szCs w:val="32"/>
              </w:rPr>
              <w:t>2.0</w:t>
            </w:r>
          </w:p>
        </w:tc>
        <w:tc>
          <w:tcPr>
            <w:tcW w:w="1284" w:type="dxa"/>
            <w:vAlign w:val="top"/>
          </w:tcPr>
          <w:p w14:paraId="6599740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8"/>
                <w:sz w:val="32"/>
                <w:szCs w:val="32"/>
              </w:rPr>
              <w:t>1.5</w:t>
            </w:r>
          </w:p>
        </w:tc>
        <w:tc>
          <w:tcPr>
            <w:tcW w:w="1191" w:type="dxa"/>
            <w:vAlign w:val="top"/>
          </w:tcPr>
          <w:p w14:paraId="188CDC0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8"/>
                <w:sz w:val="32"/>
                <w:szCs w:val="32"/>
              </w:rPr>
              <w:t>1.2</w:t>
            </w:r>
          </w:p>
        </w:tc>
        <w:tc>
          <w:tcPr>
            <w:tcW w:w="1370" w:type="dxa"/>
            <w:vAlign w:val="top"/>
          </w:tcPr>
          <w:p w14:paraId="7E99B9F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5"/>
                <w:sz w:val="32"/>
                <w:szCs w:val="32"/>
              </w:rPr>
              <w:t>0.6</w:t>
            </w:r>
          </w:p>
        </w:tc>
        <w:tc>
          <w:tcPr>
            <w:tcW w:w="1084" w:type="dxa"/>
            <w:vAlign w:val="top"/>
          </w:tcPr>
          <w:p w14:paraId="0D03FAC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5"/>
                <w:sz w:val="32"/>
                <w:szCs w:val="32"/>
              </w:rPr>
              <w:t>0.4</w:t>
            </w:r>
          </w:p>
        </w:tc>
      </w:tr>
      <w:tr w14:paraId="0C85AD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699" w:type="dxa"/>
            <w:vAlign w:val="top"/>
          </w:tcPr>
          <w:p w14:paraId="50102E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</w:rPr>
              <w:t>市级</w:t>
            </w:r>
          </w:p>
        </w:tc>
        <w:tc>
          <w:tcPr>
            <w:tcW w:w="1169" w:type="dxa"/>
            <w:vAlign w:val="top"/>
          </w:tcPr>
          <w:p w14:paraId="15FD8D1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8"/>
                <w:sz w:val="32"/>
                <w:szCs w:val="32"/>
              </w:rPr>
              <w:t>1.0</w:t>
            </w:r>
          </w:p>
        </w:tc>
        <w:tc>
          <w:tcPr>
            <w:tcW w:w="1284" w:type="dxa"/>
            <w:vAlign w:val="top"/>
          </w:tcPr>
          <w:p w14:paraId="4844063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5"/>
                <w:sz w:val="32"/>
                <w:szCs w:val="32"/>
              </w:rPr>
              <w:t>0.8</w:t>
            </w:r>
          </w:p>
        </w:tc>
        <w:tc>
          <w:tcPr>
            <w:tcW w:w="1191" w:type="dxa"/>
            <w:vAlign w:val="top"/>
          </w:tcPr>
          <w:p w14:paraId="1F802AD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5"/>
                <w:sz w:val="32"/>
                <w:szCs w:val="32"/>
              </w:rPr>
              <w:t>0.6</w:t>
            </w:r>
          </w:p>
        </w:tc>
        <w:tc>
          <w:tcPr>
            <w:tcW w:w="1370" w:type="dxa"/>
            <w:vAlign w:val="top"/>
          </w:tcPr>
          <w:p w14:paraId="06C5500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5"/>
                <w:sz w:val="32"/>
                <w:szCs w:val="32"/>
              </w:rPr>
              <w:t>0.2</w:t>
            </w:r>
          </w:p>
        </w:tc>
        <w:tc>
          <w:tcPr>
            <w:tcW w:w="1084" w:type="dxa"/>
            <w:vAlign w:val="top"/>
          </w:tcPr>
          <w:p w14:paraId="647D176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5"/>
                <w:sz w:val="32"/>
                <w:szCs w:val="32"/>
              </w:rPr>
              <w:t>0.1</w:t>
            </w:r>
          </w:p>
        </w:tc>
      </w:tr>
      <w:tr w14:paraId="198406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99" w:type="dxa"/>
            <w:vAlign w:val="top"/>
          </w:tcPr>
          <w:p w14:paraId="066ACA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>校级</w:t>
            </w:r>
          </w:p>
        </w:tc>
        <w:tc>
          <w:tcPr>
            <w:tcW w:w="1169" w:type="dxa"/>
            <w:vAlign w:val="top"/>
          </w:tcPr>
          <w:p w14:paraId="2C47666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5"/>
                <w:sz w:val="32"/>
                <w:szCs w:val="32"/>
              </w:rPr>
              <w:t>0.8</w:t>
            </w:r>
          </w:p>
        </w:tc>
        <w:tc>
          <w:tcPr>
            <w:tcW w:w="1284" w:type="dxa"/>
            <w:vAlign w:val="top"/>
          </w:tcPr>
          <w:p w14:paraId="17CED82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5"/>
                <w:sz w:val="32"/>
                <w:szCs w:val="32"/>
              </w:rPr>
              <w:t>0.6</w:t>
            </w:r>
          </w:p>
        </w:tc>
        <w:tc>
          <w:tcPr>
            <w:tcW w:w="1191" w:type="dxa"/>
            <w:vAlign w:val="top"/>
          </w:tcPr>
          <w:p w14:paraId="585DCBE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5"/>
                <w:sz w:val="32"/>
                <w:szCs w:val="32"/>
              </w:rPr>
              <w:t>0.4</w:t>
            </w:r>
          </w:p>
        </w:tc>
        <w:tc>
          <w:tcPr>
            <w:tcW w:w="1370" w:type="dxa"/>
            <w:vAlign w:val="top"/>
          </w:tcPr>
          <w:p w14:paraId="6B57743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5"/>
                <w:sz w:val="32"/>
                <w:szCs w:val="32"/>
              </w:rPr>
              <w:t>0.2</w:t>
            </w:r>
          </w:p>
        </w:tc>
        <w:tc>
          <w:tcPr>
            <w:tcW w:w="1084" w:type="dxa"/>
            <w:vAlign w:val="top"/>
          </w:tcPr>
          <w:p w14:paraId="08B39F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drawing>
                <wp:anchor distT="0" distB="0" distL="0" distR="0" simplePos="0" relativeHeight="251661312" behindDoc="1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56515</wp:posOffset>
                  </wp:positionV>
                  <wp:extent cx="659765" cy="800735"/>
                  <wp:effectExtent l="0" t="0" r="10795" b="6985"/>
                  <wp:wrapNone/>
                  <wp:docPr id="1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765" cy="800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drawing>
                <wp:anchor distT="0" distB="0" distL="0" distR="0" simplePos="0" relativeHeight="251664384" behindDoc="1" locked="0" layoutInCell="1" allowOverlap="1">
                  <wp:simplePos x="0" y="0"/>
                  <wp:positionH relativeFrom="column">
                    <wp:posOffset>1038860</wp:posOffset>
                  </wp:positionH>
                  <wp:positionV relativeFrom="paragraph">
                    <wp:posOffset>5269865</wp:posOffset>
                  </wp:positionV>
                  <wp:extent cx="901065" cy="461010"/>
                  <wp:effectExtent l="0" t="0" r="13335" b="11430"/>
                  <wp:wrapNone/>
                  <wp:docPr id="3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065" cy="46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1BAF1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699" w:type="dxa"/>
            <w:vAlign w:val="top"/>
          </w:tcPr>
          <w:p w14:paraId="38C815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院级</w:t>
            </w:r>
          </w:p>
        </w:tc>
        <w:tc>
          <w:tcPr>
            <w:tcW w:w="1169" w:type="dxa"/>
            <w:vAlign w:val="top"/>
          </w:tcPr>
          <w:p w14:paraId="78F9A74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5"/>
                <w:sz w:val="32"/>
                <w:szCs w:val="32"/>
              </w:rPr>
              <w:t>0.6</w:t>
            </w:r>
          </w:p>
        </w:tc>
        <w:tc>
          <w:tcPr>
            <w:tcW w:w="1284" w:type="dxa"/>
            <w:vAlign w:val="top"/>
          </w:tcPr>
          <w:p w14:paraId="4076646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5"/>
                <w:sz w:val="32"/>
                <w:szCs w:val="32"/>
              </w:rPr>
              <w:t>0.4</w:t>
            </w:r>
          </w:p>
        </w:tc>
        <w:tc>
          <w:tcPr>
            <w:tcW w:w="1191" w:type="dxa"/>
            <w:vAlign w:val="top"/>
          </w:tcPr>
          <w:p w14:paraId="42D0096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5"/>
                <w:sz w:val="32"/>
                <w:szCs w:val="32"/>
              </w:rPr>
              <w:t>0.2</w:t>
            </w:r>
          </w:p>
        </w:tc>
        <w:tc>
          <w:tcPr>
            <w:tcW w:w="1370" w:type="dxa"/>
            <w:vAlign w:val="top"/>
          </w:tcPr>
          <w:p w14:paraId="4DC4B10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5"/>
                <w:sz w:val="32"/>
                <w:szCs w:val="32"/>
              </w:rPr>
              <w:t>0.1</w:t>
            </w:r>
          </w:p>
        </w:tc>
        <w:tc>
          <w:tcPr>
            <w:tcW w:w="1084" w:type="dxa"/>
            <w:vAlign w:val="top"/>
          </w:tcPr>
          <w:p w14:paraId="00969A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drawing>
                <wp:anchor distT="0" distB="0" distL="0" distR="0" simplePos="0" relativeHeight="251663360" behindDoc="1" locked="0" layoutInCell="1" allowOverlap="1">
                  <wp:simplePos x="0" y="0"/>
                  <wp:positionH relativeFrom="column">
                    <wp:posOffset>886460</wp:posOffset>
                  </wp:positionH>
                  <wp:positionV relativeFrom="paragraph">
                    <wp:posOffset>4679315</wp:posOffset>
                  </wp:positionV>
                  <wp:extent cx="901065" cy="461010"/>
                  <wp:effectExtent l="0" t="0" r="13335" b="11430"/>
                  <wp:wrapNone/>
                  <wp:docPr id="10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065" cy="46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239A55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line="560" w:lineRule="exact"/>
        <w:ind w:right="99" w:firstLine="672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注：文艺类累加分高限为3.0分。文艺活动及其他各类竞赛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含校园歌手、话剧、舞蹈、征文、辩论、演讲、朗诵等竞</w:t>
      </w:r>
      <w:r>
        <w:rPr>
          <w:rFonts w:hint="eastAsia" w:ascii="仿宋" w:hAnsi="仿宋" w:eastAsia="仿宋" w:cs="仿宋"/>
          <w:spacing w:val="4"/>
          <w:sz w:val="32"/>
          <w:szCs w:val="32"/>
        </w:rPr>
        <w:t>赛活动，</w:t>
      </w:r>
      <w:r>
        <w:rPr>
          <w:rFonts w:hint="eastAsia" w:ascii="仿宋" w:hAnsi="仿宋" w:eastAsia="仿宋" w:cs="仿宋"/>
          <w:spacing w:val="5"/>
          <w:sz w:val="32"/>
          <w:szCs w:val="32"/>
        </w:rPr>
        <w:t>以上未列举的比赛可参照执行。上述各类竞赛活动若以名</w:t>
      </w:r>
      <w:r>
        <w:rPr>
          <w:rFonts w:hint="eastAsia" w:ascii="仿宋" w:hAnsi="仿宋" w:eastAsia="仿宋" w:cs="仿宋"/>
          <w:spacing w:val="4"/>
          <w:sz w:val="32"/>
          <w:szCs w:val="32"/>
        </w:rPr>
        <w:t>次评出，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则第一名按一等奖加分，第二、三名按二等奖加分，第四、五名</w:t>
      </w:r>
      <w:r>
        <w:rPr>
          <w:rFonts w:hint="eastAsia" w:ascii="仿宋" w:hAnsi="仿宋" w:eastAsia="仿宋" w:cs="仿宋"/>
          <w:spacing w:val="6"/>
          <w:sz w:val="32"/>
          <w:szCs w:val="32"/>
        </w:rPr>
        <w:t>以后按三等奖加分。若设特等奖，则以同级一等奖加分标准×1.2</w:t>
      </w:r>
      <w:r>
        <w:rPr>
          <w:rFonts w:hint="eastAsia" w:ascii="仿宋" w:hAnsi="仿宋" w:eastAsia="仿宋" w:cs="仿宋"/>
          <w:spacing w:val="9"/>
          <w:sz w:val="32"/>
          <w:szCs w:val="32"/>
        </w:rPr>
        <w:t>执行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</w:rPr>
        <w:t>，参与奖、入围奖则</w:t>
      </w:r>
      <w:r>
        <w:rPr>
          <w:rFonts w:hint="eastAsia" w:ascii="仿宋" w:hAnsi="仿宋" w:eastAsia="仿宋" w:cs="仿宋"/>
          <w:spacing w:val="9"/>
          <w:sz w:val="32"/>
          <w:szCs w:val="32"/>
        </w:rPr>
        <w:t>以同级优秀奖加分标准执行。</w:t>
      </w:r>
    </w:p>
    <w:p w14:paraId="7EF4AE3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4" w:line="560" w:lineRule="exact"/>
        <w:ind w:right="156" w:firstLine="676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9"/>
          <w:sz w:val="32"/>
          <w:szCs w:val="32"/>
        </w:rPr>
        <w:t>2.参加文体各级各类技能等级测试和考获国家认定的正规发放的资格、技能证书，通过者参照同级二等奖标准加分。</w:t>
      </w:r>
    </w:p>
    <w:p w14:paraId="7A9C21A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60" w:lineRule="exact"/>
        <w:ind w:firstLine="668" w:firstLineChars="200"/>
        <w:jc w:val="both"/>
        <w:textAlignment w:val="baseline"/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3.以上文体获奖省级以上，国家级的获奖按照省级加分标准</w:t>
      </w:r>
      <w:r>
        <w:rPr>
          <w:rFonts w:hint="eastAsia" w:ascii="仿宋" w:hAnsi="仿宋" w:eastAsia="仿宋" w:cs="仿宋"/>
          <w:spacing w:val="4"/>
          <w:sz w:val="32"/>
          <w:szCs w:val="32"/>
        </w:rPr>
        <w:t>×1.4执行；国家级以下的大区级获奖按照省级加分标准×1.2执</w:t>
      </w:r>
      <w:r>
        <w:rPr>
          <w:rFonts w:hint="eastAsia" w:ascii="仿宋" w:hAnsi="仿宋" w:eastAsia="仿宋" w:cs="仿宋"/>
          <w:spacing w:val="6"/>
          <w:sz w:val="32"/>
          <w:szCs w:val="32"/>
        </w:rPr>
        <w:t>行。市级以上，省级以下的片区级获奖按照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市级加分标准×1.2执</w:t>
      </w: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行。</w:t>
      </w:r>
    </w:p>
    <w:p w14:paraId="77BB53B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60" w:lineRule="exact"/>
        <w:ind w:firstLine="660" w:firstLineChars="200"/>
        <w:jc w:val="both"/>
        <w:textAlignment w:val="baseline"/>
        <w:rPr>
          <w:rFonts w:hint="eastAsia" w:ascii="仿宋" w:hAnsi="仿宋" w:eastAsia="仿宋" w:cs="仿宋"/>
          <w:spacing w:val="5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pacing w:val="5"/>
          <w:sz w:val="32"/>
          <w:szCs w:val="32"/>
          <w:highlight w:val="none"/>
          <w:shd w:val="clear" w:color="auto" w:fill="auto"/>
          <w:lang w:val="en-US" w:eastAsia="zh-CN"/>
        </w:rPr>
        <w:t>4.“LSCAT”大赛为学校统一组织参赛报名的省级比赛，获奖名次降一级处理。普译奖全国大学生英语写作大赛和全国大学生英语阅读竞赛不加分。</w:t>
      </w:r>
    </w:p>
    <w:p w14:paraId="45C42B7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561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5"/>
          <w:sz w:val="32"/>
          <w:szCs w:val="32"/>
        </w:rPr>
        <w:t>（四）操作技能</w:t>
      </w:r>
    </w:p>
    <w:p w14:paraId="0F12312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3" w:line="560" w:lineRule="exact"/>
        <w:ind w:left="132" w:right="84" w:firstLine="420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本项技能包括英语、计算机等方面的能力，通过</w:t>
      </w:r>
      <w:r>
        <w:rPr>
          <w:rFonts w:hint="eastAsia" w:ascii="仿宋" w:hAnsi="仿宋" w:eastAsia="仿宋" w:cs="仿宋"/>
          <w:sz w:val="32"/>
          <w:szCs w:val="32"/>
        </w:rPr>
        <w:t>CET</w:t>
      </w:r>
      <w:r>
        <w:rPr>
          <w:rFonts w:hint="eastAsia" w:ascii="仿宋" w:hAnsi="仿宋" w:eastAsia="仿宋" w:cs="仿宋"/>
          <w:spacing w:val="6"/>
          <w:sz w:val="32"/>
          <w:szCs w:val="32"/>
        </w:rPr>
        <w:t>－4加1</w:t>
      </w:r>
      <w:r>
        <w:rPr>
          <w:rFonts w:hint="eastAsia" w:ascii="仿宋" w:hAnsi="仿宋" w:eastAsia="仿宋" w:cs="仿宋"/>
          <w:spacing w:val="4"/>
          <w:sz w:val="32"/>
          <w:szCs w:val="32"/>
        </w:rPr>
        <w:t>分，通过</w:t>
      </w:r>
      <w:r>
        <w:rPr>
          <w:rFonts w:hint="eastAsia" w:ascii="仿宋" w:hAnsi="仿宋" w:eastAsia="仿宋" w:cs="仿宋"/>
          <w:sz w:val="32"/>
          <w:szCs w:val="32"/>
        </w:rPr>
        <w:t>CET</w:t>
      </w:r>
      <w:r>
        <w:rPr>
          <w:rFonts w:hint="eastAsia" w:ascii="仿宋" w:hAnsi="仿宋" w:eastAsia="仿宋" w:cs="仿宋"/>
          <w:spacing w:val="4"/>
          <w:sz w:val="32"/>
          <w:szCs w:val="32"/>
        </w:rPr>
        <w:t>－6加2分；通过计算</w:t>
      </w:r>
      <w:r>
        <w:rPr>
          <w:rFonts w:hint="eastAsia" w:ascii="仿宋" w:hAnsi="仿宋" w:eastAsia="仿宋" w:cs="仿宋"/>
          <w:spacing w:val="4"/>
          <w:sz w:val="32"/>
          <w:szCs w:val="32"/>
          <w:highlight w:val="none"/>
        </w:rPr>
        <w:t>机一级加0.5</w:t>
      </w:r>
      <w:r>
        <w:rPr>
          <w:rFonts w:hint="eastAsia" w:ascii="仿宋" w:hAnsi="仿宋" w:eastAsia="仿宋" w:cs="仿宋"/>
          <w:spacing w:val="3"/>
          <w:sz w:val="32"/>
          <w:szCs w:val="32"/>
          <w:highlight w:val="none"/>
        </w:rPr>
        <w:t>分，通过计算机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</w:rPr>
        <w:t>二级加1分，通过计算机三级加1.5分，通过计算</w:t>
      </w:r>
      <w:r>
        <w:rPr>
          <w:rFonts w:hint="eastAsia" w:ascii="仿宋" w:hAnsi="仿宋" w:eastAsia="仿宋" w:cs="仿宋"/>
          <w:spacing w:val="1"/>
          <w:sz w:val="32"/>
          <w:szCs w:val="32"/>
          <w:highlight w:val="none"/>
        </w:rPr>
        <w:t>机四级加2分。</w:t>
      </w:r>
      <w:r>
        <w:rPr>
          <w:rFonts w:hint="eastAsia" w:ascii="仿宋" w:hAnsi="仿宋" w:eastAsia="仿宋" w:cs="仿宋"/>
          <w:spacing w:val="10"/>
          <w:sz w:val="32"/>
          <w:szCs w:val="32"/>
          <w:highlight w:val="none"/>
        </w:rPr>
        <w:t>其中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CET</w:t>
      </w:r>
      <w:r>
        <w:rPr>
          <w:rFonts w:hint="eastAsia" w:ascii="仿宋" w:hAnsi="仿宋" w:eastAsia="仿宋" w:cs="仿宋"/>
          <w:spacing w:val="10"/>
          <w:sz w:val="32"/>
          <w:szCs w:val="32"/>
          <w:highlight w:val="none"/>
        </w:rPr>
        <w:t>等级</w:t>
      </w:r>
      <w:r>
        <w:rPr>
          <w:rFonts w:hint="eastAsia" w:ascii="仿宋" w:hAnsi="仿宋" w:eastAsia="仿宋" w:cs="仿宋"/>
          <w:spacing w:val="10"/>
          <w:sz w:val="32"/>
          <w:szCs w:val="32"/>
          <w:highlight w:val="none"/>
          <w:lang w:eastAsia="zh-CN"/>
        </w:rPr>
        <w:t>首次通过后若再次考取，</w:t>
      </w:r>
      <w:r>
        <w:rPr>
          <w:rFonts w:hint="eastAsia" w:ascii="仿宋" w:hAnsi="仿宋" w:eastAsia="仿宋" w:cs="仿宋"/>
          <w:spacing w:val="10"/>
          <w:sz w:val="32"/>
          <w:szCs w:val="32"/>
          <w:highlight w:val="none"/>
          <w:lang w:val="en-US" w:eastAsia="zh-CN"/>
        </w:rPr>
        <w:t>500分以上则可再次按照对应分数加分</w:t>
      </w:r>
      <w:r>
        <w:rPr>
          <w:rFonts w:hint="eastAsia" w:ascii="仿宋" w:hAnsi="仿宋" w:eastAsia="仿宋" w:cs="仿宋"/>
          <w:spacing w:val="10"/>
          <w:sz w:val="32"/>
          <w:szCs w:val="32"/>
          <w:highlight w:val="none"/>
        </w:rPr>
        <w:t>。日语二级视同四级加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分，一级视同六级加分。</w:t>
      </w:r>
    </w:p>
    <w:p w14:paraId="022C4DF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560" w:lineRule="exact"/>
        <w:ind w:firstLine="664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6"/>
          <w:sz w:val="32"/>
          <w:szCs w:val="32"/>
          <w:highlight w:val="none"/>
        </w:rPr>
        <w:t>（1）英语类加分</w:t>
      </w:r>
    </w:p>
    <w:p w14:paraId="7D7BCCF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3" w:line="560" w:lineRule="exact"/>
        <w:ind w:left="132" w:right="84" w:firstLine="420"/>
        <w:jc w:val="both"/>
        <w:textAlignment w:val="baseline"/>
        <w:rPr>
          <w:rFonts w:hint="eastAsia" w:ascii="仿宋" w:hAnsi="仿宋" w:eastAsia="仿宋" w:cs="仿宋"/>
          <w:spacing w:val="1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10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spacing w:val="1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spacing w:val="10"/>
          <w:sz w:val="32"/>
          <w:szCs w:val="32"/>
          <w:highlight w:val="none"/>
        </w:rPr>
        <w:t>雅思、BEC、中高级口译证书的</w:t>
      </w:r>
      <w:r>
        <w:rPr>
          <w:rFonts w:hint="eastAsia" w:ascii="仿宋" w:hAnsi="仿宋" w:eastAsia="仿宋" w:cs="仿宋"/>
          <w:spacing w:val="10"/>
          <w:sz w:val="32"/>
          <w:szCs w:val="32"/>
          <w:highlight w:val="none"/>
          <w:lang w:val="en-US" w:eastAsia="zh-CN"/>
        </w:rPr>
        <w:t>加分</w:t>
      </w:r>
    </w:p>
    <w:p w14:paraId="6117777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560" w:lineRule="exact"/>
        <w:ind w:left="430" w:leftChars="205" w:right="2384" w:firstLine="18" w:firstLineChars="6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-2"/>
          <w:sz w:val="32"/>
          <w:szCs w:val="32"/>
          <w:highlight w:val="none"/>
        </w:rPr>
        <w:t>雅思6.5分以上加2分；</w:t>
      </w:r>
    </w:p>
    <w:p w14:paraId="730735D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3" w:line="560" w:lineRule="exact"/>
        <w:ind w:left="432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BEC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</w:rPr>
        <w:t>加分标准：中级加1.5分、高级加2分；</w:t>
      </w:r>
    </w:p>
    <w:p w14:paraId="138C388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1" w:line="560" w:lineRule="exact"/>
        <w:ind w:left="426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4"/>
          <w:sz w:val="32"/>
          <w:szCs w:val="32"/>
          <w:highlight w:val="none"/>
        </w:rPr>
        <w:t>获得中级口译证书（包括口试+笔试）加1.5分；</w:t>
      </w:r>
    </w:p>
    <w:p w14:paraId="2501BDD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3" w:line="560" w:lineRule="exact"/>
        <w:ind w:left="6" w:right="1064" w:firstLine="419"/>
        <w:jc w:val="both"/>
        <w:textAlignment w:val="baseline"/>
        <w:rPr>
          <w:rFonts w:hint="eastAsia" w:ascii="仿宋" w:hAnsi="仿宋" w:eastAsia="仿宋" w:cs="仿宋"/>
          <w:spacing w:val="6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6"/>
          <w:sz w:val="32"/>
          <w:szCs w:val="32"/>
          <w:highlight w:val="none"/>
        </w:rPr>
        <w:t>获得高级口译证书（包括口试+笔试）加2分。</w:t>
      </w:r>
    </w:p>
    <w:p w14:paraId="7219E2C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3" w:line="560" w:lineRule="exact"/>
        <w:ind w:right="1064"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英语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口语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水平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考试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的加分</w:t>
      </w:r>
    </w:p>
    <w:p w14:paraId="444BCCC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3" w:line="560" w:lineRule="exact"/>
        <w:ind w:right="1064"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CET-4、CET-6口语考试不加分；</w:t>
      </w:r>
    </w:p>
    <w:p w14:paraId="19FF0E6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4" w:line="560" w:lineRule="exact"/>
        <w:ind w:left="424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5"/>
          <w:sz w:val="32"/>
          <w:szCs w:val="32"/>
          <w:highlight w:val="none"/>
        </w:rPr>
        <w:t>江苏省英语口语水平等级考试中级及以上，加0.6分。</w:t>
      </w:r>
    </w:p>
    <w:p w14:paraId="033A047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1" w:line="560" w:lineRule="exact"/>
        <w:ind w:firstLine="668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7"/>
          <w:sz w:val="32"/>
          <w:szCs w:val="32"/>
          <w:highlight w:val="none"/>
        </w:rPr>
        <w:t>（2）资格证书类加分</w:t>
      </w:r>
    </w:p>
    <w:p w14:paraId="6FE4EA1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5" w:line="560" w:lineRule="exact"/>
        <w:ind w:firstLine="664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spacing w:val="6"/>
          <w:sz w:val="32"/>
          <w:szCs w:val="32"/>
          <w:highlight w:val="none"/>
          <w:shd w:val="clear" w:color="auto" w:fill="auto"/>
        </w:rPr>
        <w:t>1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  <w:shd w:val="clear" w:color="auto" w:fill="auto"/>
          <w:lang w:eastAsia="zh-CN"/>
        </w:rPr>
        <w:t>.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  <w:shd w:val="clear" w:color="auto" w:fill="auto"/>
        </w:rPr>
        <w:t>资格证书时间参照测评学年，所有资格证书的加分比照校级二</w:t>
      </w:r>
      <w:r>
        <w:rPr>
          <w:rFonts w:hint="eastAsia" w:ascii="仿宋" w:hAnsi="仿宋" w:eastAsia="仿宋" w:cs="仿宋"/>
          <w:spacing w:val="4"/>
          <w:sz w:val="32"/>
          <w:szCs w:val="32"/>
          <w:highlight w:val="none"/>
          <w:shd w:val="clear" w:color="auto" w:fill="auto"/>
        </w:rPr>
        <w:t>等0.6加分，加分证书如报关员、报检员、人力资源证、营销师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  <w:shd w:val="clear" w:color="auto" w:fill="auto"/>
        </w:rPr>
        <w:t>、单证员、外贸会计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  <w:shd w:val="clear" w:color="auto" w:fill="auto"/>
          <w:lang w:val="en-US" w:eastAsia="zh-CN"/>
        </w:rPr>
        <w:t>教师资格证、普通话证书（二乙以上）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  <w:shd w:val="clear" w:color="auto" w:fill="auto"/>
        </w:rPr>
        <w:t>等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  <w:shd w:val="clear" w:color="auto" w:fill="auto"/>
          <w:lang w:val="en-US" w:eastAsia="zh-CN"/>
        </w:rPr>
        <w:t>与学院专业、学科方向相关的资格证书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  <w:shd w:val="clear" w:color="auto" w:fill="auto"/>
        </w:rPr>
        <w:t>，均需由国家各部委颁发。</w:t>
      </w:r>
    </w:p>
    <w:p w14:paraId="3E049FD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560" w:lineRule="exact"/>
        <w:ind w:right="68" w:firstLine="696" w:firstLineChars="200"/>
        <w:jc w:val="both"/>
        <w:textAlignment w:val="baseline"/>
        <w:rPr>
          <w:rFonts w:hint="eastAsia" w:ascii="仿宋" w:hAnsi="仿宋" w:eastAsia="仿宋" w:cs="仿宋"/>
          <w:spacing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spacing w:val="14"/>
          <w:sz w:val="32"/>
          <w:szCs w:val="32"/>
          <w:highlight w:val="none"/>
          <w:shd w:val="clear" w:color="auto" w:fill="auto"/>
        </w:rPr>
        <w:t>2</w:t>
      </w:r>
      <w:r>
        <w:rPr>
          <w:rFonts w:hint="eastAsia" w:ascii="仿宋" w:hAnsi="仿宋" w:eastAsia="仿宋" w:cs="仿宋"/>
          <w:spacing w:val="14"/>
          <w:sz w:val="32"/>
          <w:szCs w:val="32"/>
          <w:highlight w:val="none"/>
          <w:shd w:val="clear" w:color="auto" w:fill="auto"/>
          <w:lang w:eastAsia="zh-CN"/>
        </w:rPr>
        <w:t>.</w:t>
      </w:r>
      <w:r>
        <w:rPr>
          <w:rFonts w:hint="eastAsia" w:ascii="仿宋" w:hAnsi="仿宋" w:eastAsia="仿宋" w:cs="仿宋"/>
          <w:spacing w:val="14"/>
          <w:sz w:val="32"/>
          <w:szCs w:val="32"/>
          <w:highlight w:val="none"/>
          <w:shd w:val="clear" w:color="auto" w:fill="auto"/>
        </w:rPr>
        <w:t>未发证书，但成绩合格，且达到相关中级</w:t>
      </w:r>
      <w:r>
        <w:rPr>
          <w:rFonts w:hint="eastAsia" w:ascii="仿宋" w:hAnsi="仿宋" w:eastAsia="仿宋" w:cs="仿宋"/>
          <w:spacing w:val="13"/>
          <w:sz w:val="32"/>
          <w:szCs w:val="32"/>
          <w:highlight w:val="none"/>
          <w:shd w:val="clear" w:color="auto" w:fill="auto"/>
        </w:rPr>
        <w:t>标准以上者，按照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auto"/>
        </w:rPr>
        <w:t>0.6加分，如证券从业资格证。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</w:rPr>
        <w:t>GYB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auto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</w:rPr>
        <w:t>SYB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auto"/>
        </w:rPr>
        <w:t>证书获得者在该学期加</w:t>
      </w:r>
      <w:r>
        <w:rPr>
          <w:rFonts w:hint="eastAsia" w:ascii="仿宋" w:hAnsi="仿宋" w:eastAsia="仿宋" w:cs="仿宋"/>
          <w:spacing w:val="4"/>
          <w:sz w:val="32"/>
          <w:szCs w:val="32"/>
          <w:highlight w:val="none"/>
          <w:shd w:val="clear" w:color="auto" w:fill="auto"/>
        </w:rPr>
        <w:t>0.6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  <w:shd w:val="clear" w:color="auto" w:fill="auto"/>
        </w:rPr>
        <w:t>分。注：所有资格证书涉及初级、中级、高级三个层次的，初级一律不加分，中级及以上的，加0.6分。</w:t>
      </w:r>
    </w:p>
    <w:p w14:paraId="4B24229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560" w:lineRule="exact"/>
        <w:ind w:right="68" w:firstLine="648" w:firstLineChars="200"/>
        <w:jc w:val="both"/>
        <w:textAlignment w:val="baseline"/>
        <w:rPr>
          <w:rFonts w:hint="eastAsia" w:ascii="仿宋" w:hAnsi="仿宋" w:eastAsia="仿宋" w:cs="仿宋"/>
          <w:spacing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32"/>
          <w:szCs w:val="32"/>
          <w:highlight w:val="none"/>
          <w:shd w:val="clear" w:color="auto" w:fill="auto"/>
        </w:rPr>
        <w:t>3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  <w:shd w:val="clear" w:color="auto" w:fill="auto"/>
          <w:lang w:eastAsia="zh-CN"/>
        </w:rPr>
        <w:t>.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  <w:shd w:val="clear" w:color="auto" w:fill="auto"/>
        </w:rPr>
        <w:t>机动车驾驶证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  <w:shd w:val="clear" w:color="auto" w:fill="auto"/>
          <w:lang w:eastAsia="zh-CN"/>
        </w:rPr>
        <w:t>、普通话证书、献血证等与专业相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  <w:shd w:val="clear" w:color="auto" w:fill="auto"/>
          <w:lang w:val="en-US" w:eastAsia="zh-CN"/>
        </w:rPr>
        <w:t>关度低的资格证书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  <w:shd w:val="clear" w:color="auto" w:fill="auto"/>
        </w:rPr>
        <w:t>不在加分范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  <w:shd w:val="clear" w:color="auto" w:fill="auto"/>
          <w:lang w:val="en-US" w:eastAsia="zh-CN"/>
        </w:rPr>
        <w:t>畴。</w:t>
      </w:r>
    </w:p>
    <w:p w14:paraId="6A52AC1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560" w:lineRule="exact"/>
        <w:ind w:right="68" w:firstLine="648" w:firstLineChars="200"/>
        <w:jc w:val="both"/>
        <w:textAlignment w:val="baseline"/>
        <w:rPr>
          <w:rFonts w:hint="eastAsia" w:ascii="仿宋" w:hAnsi="仿宋" w:eastAsia="仿宋" w:cs="仿宋"/>
          <w:spacing w:val="6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spacing w:val="2"/>
          <w:sz w:val="32"/>
          <w:szCs w:val="32"/>
          <w:highlight w:val="none"/>
          <w:shd w:val="clear" w:color="auto" w:fill="auto"/>
        </w:rPr>
        <w:t>4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  <w:shd w:val="clear" w:color="auto" w:fill="auto"/>
          <w:lang w:eastAsia="zh-CN"/>
        </w:rPr>
        <w:t>.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  <w:shd w:val="clear" w:color="auto" w:fill="auto"/>
        </w:rPr>
        <w:t>其他对专业培养有意义的证</w:t>
      </w:r>
      <w:r>
        <w:rPr>
          <w:rFonts w:hint="eastAsia" w:ascii="仿宋" w:hAnsi="仿宋" w:eastAsia="仿宋" w:cs="仿宋"/>
          <w:spacing w:val="14"/>
          <w:sz w:val="32"/>
          <w:szCs w:val="32"/>
          <w:highlight w:val="none"/>
          <w:shd w:val="clear" w:color="auto" w:fill="auto"/>
        </w:rPr>
        <w:t>书，包括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</w:rPr>
        <w:t>CMA</w:t>
      </w:r>
      <w:r>
        <w:rPr>
          <w:rFonts w:hint="eastAsia" w:ascii="仿宋" w:hAnsi="仿宋" w:eastAsia="仿宋" w:cs="仿宋"/>
          <w:spacing w:val="14"/>
          <w:sz w:val="32"/>
          <w:szCs w:val="32"/>
          <w:highlight w:val="none"/>
          <w:shd w:val="clear" w:color="auto" w:fill="auto"/>
        </w:rPr>
        <w:t>等证书</w:t>
      </w:r>
      <w:r>
        <w:rPr>
          <w:rFonts w:hint="eastAsia" w:ascii="仿宋" w:hAnsi="仿宋" w:eastAsia="仿宋" w:cs="仿宋"/>
          <w:spacing w:val="13"/>
          <w:sz w:val="32"/>
          <w:szCs w:val="32"/>
          <w:highlight w:val="none"/>
          <w:shd w:val="clear" w:color="auto" w:fill="auto"/>
        </w:rPr>
        <w:t>加分，加分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  <w:shd w:val="clear" w:color="auto" w:fill="auto"/>
        </w:rPr>
        <w:t>参照证书加分。</w:t>
      </w:r>
    </w:p>
    <w:p w14:paraId="4F841D1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560" w:lineRule="exact"/>
        <w:ind w:right="68" w:firstLine="664" w:firstLineChars="200"/>
        <w:jc w:val="both"/>
        <w:textAlignment w:val="baseline"/>
        <w:rPr>
          <w:rFonts w:hint="eastAsia" w:ascii="仿宋" w:hAnsi="仿宋" w:eastAsia="仿宋" w:cs="仿宋"/>
          <w:spacing w:val="6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pacing w:val="6"/>
          <w:sz w:val="32"/>
          <w:szCs w:val="32"/>
          <w:highlight w:val="none"/>
          <w:shd w:val="clear" w:color="auto" w:fill="auto"/>
          <w:lang w:val="en-US" w:eastAsia="zh-CN"/>
        </w:rPr>
        <w:t>5.作为参加比赛的前置条件获得的证书不加分。</w:t>
      </w:r>
    </w:p>
    <w:p w14:paraId="2672B09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5" w:line="560" w:lineRule="exact"/>
        <w:ind w:left="433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6"/>
          <w:sz w:val="32"/>
          <w:szCs w:val="32"/>
        </w:rPr>
        <w:t>（五）其它奖励加分</w:t>
      </w:r>
    </w:p>
    <w:p w14:paraId="19FBC97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560" w:lineRule="exact"/>
        <w:ind w:left="2" w:right="68" w:firstLine="424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宣传（含新媒体）报道奖励：省级以上宣传媒体0.2－1.0分/</w:t>
      </w:r>
      <w:r>
        <w:rPr>
          <w:rFonts w:hint="eastAsia" w:ascii="仿宋" w:hAnsi="仿宋" w:eastAsia="仿宋" w:cs="仿宋"/>
          <w:spacing w:val="2"/>
          <w:sz w:val="32"/>
          <w:szCs w:val="32"/>
        </w:rPr>
        <w:t>篇次，市、校级0.1－0.5分/篇次，综合测评认定小组根</w:t>
      </w:r>
      <w:r>
        <w:rPr>
          <w:rFonts w:hint="eastAsia" w:ascii="仿宋" w:hAnsi="仿宋" w:eastAsia="仿宋" w:cs="仿宋"/>
          <w:spacing w:val="1"/>
          <w:sz w:val="32"/>
          <w:szCs w:val="32"/>
        </w:rPr>
        <w:t>据宣传报</w:t>
      </w:r>
      <w:r>
        <w:rPr>
          <w:rFonts w:hint="eastAsia" w:ascii="仿宋" w:hAnsi="仿宋" w:eastAsia="仿宋" w:cs="仿宋"/>
          <w:spacing w:val="8"/>
          <w:sz w:val="32"/>
          <w:szCs w:val="32"/>
        </w:rPr>
        <w:t>道的级别、影响力认定加分；内容雷同文章取高限加分；两名作</w:t>
      </w:r>
      <w:r>
        <w:rPr>
          <w:rFonts w:hint="eastAsia" w:ascii="仿宋" w:hAnsi="仿宋" w:eastAsia="仿宋" w:cs="仿宋"/>
          <w:spacing w:val="5"/>
          <w:sz w:val="32"/>
          <w:szCs w:val="32"/>
        </w:rPr>
        <w:t>者的稿件分别依得分的2/3、1/3给分；三名作者的稿件分别依得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分的1/2、1/3、1/6给分，其余以此类推；宣传</w:t>
      </w:r>
      <w:r>
        <w:rPr>
          <w:rFonts w:hint="eastAsia" w:ascii="仿宋" w:hAnsi="仿宋" w:eastAsia="仿宋" w:cs="仿宋"/>
          <w:spacing w:val="7"/>
          <w:sz w:val="32"/>
          <w:szCs w:val="32"/>
        </w:rPr>
        <w:t>作品获奖的依双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倍加分，本类累加分高限为2.0分。</w:t>
      </w:r>
    </w:p>
    <w:p w14:paraId="147BFC4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2" w:line="560" w:lineRule="exact"/>
        <w:ind w:left="426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宣传报道类补充说明：</w:t>
      </w:r>
    </w:p>
    <w:p w14:paraId="57C55D3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5" w:line="560" w:lineRule="exact"/>
        <w:ind w:firstLine="664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在各级各类社团组织中担任外宣类等职务，</w:t>
      </w:r>
      <w:r>
        <w:rPr>
          <w:rFonts w:hint="eastAsia" w:ascii="仿宋" w:hAnsi="仿宋" w:eastAsia="仿宋" w:cs="仿宋"/>
          <w:spacing w:val="5"/>
          <w:sz w:val="32"/>
          <w:szCs w:val="32"/>
        </w:rPr>
        <w:t>由于工作需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要发表的文章，不额外加分，校内学生组织学生稿件须有主管部门认定加分。学院新媒体平台作品按质量和数量情况，学院内讨</w:t>
      </w:r>
      <w:r>
        <w:rPr>
          <w:rFonts w:hint="eastAsia" w:ascii="仿宋" w:hAnsi="仿宋" w:eastAsia="仿宋" w:cs="仿宋"/>
          <w:spacing w:val="6"/>
          <w:sz w:val="32"/>
          <w:szCs w:val="32"/>
        </w:rPr>
        <w:t>论认定加分。</w:t>
      </w:r>
    </w:p>
    <w:p w14:paraId="70E685C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after="0" w:afterLines="50" w:line="560" w:lineRule="exact"/>
        <w:ind w:right="57" w:firstLine="664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在有正式刊号且公开发表的校级刊物上</w:t>
      </w:r>
      <w:r>
        <w:rPr>
          <w:rFonts w:hint="eastAsia" w:ascii="仿宋" w:hAnsi="仿宋" w:eastAsia="仿宋" w:cs="仿宋"/>
          <w:spacing w:val="5"/>
          <w:sz w:val="32"/>
          <w:szCs w:val="32"/>
        </w:rPr>
        <w:t>（如：常州大学</w:t>
      </w:r>
      <w:r>
        <w:rPr>
          <w:rFonts w:hint="eastAsia" w:ascii="仿宋" w:hAnsi="仿宋" w:eastAsia="仿宋" w:cs="仿宋"/>
          <w:spacing w:val="2"/>
          <w:sz w:val="32"/>
          <w:szCs w:val="32"/>
        </w:rPr>
        <w:t>校报）发表文章的，加0.2分/篇次。</w:t>
      </w:r>
    </w:p>
    <w:p w14:paraId="29BDE58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" w:after="0" w:afterLines="50" w:line="560" w:lineRule="exact"/>
        <w:jc w:val="center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7"/>
          <w:sz w:val="32"/>
          <w:szCs w:val="32"/>
        </w:rPr>
        <w:t>第五章</w:t>
      </w:r>
      <w:r>
        <w:rPr>
          <w:rFonts w:hint="eastAsia" w:ascii="黑体" w:hAnsi="黑体" w:eastAsia="黑体" w:cs="黑体"/>
          <w:b/>
          <w:bCs/>
          <w:spacing w:val="7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pacing w:val="7"/>
          <w:sz w:val="32"/>
          <w:szCs w:val="32"/>
        </w:rPr>
        <w:t>测评结果的使用</w:t>
      </w:r>
    </w:p>
    <w:p w14:paraId="00AE2B3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3" w:line="560" w:lineRule="exact"/>
        <w:ind w:firstLine="421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第十三条</w:t>
      </w: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测评结果作为学生奖学金评定的依据</w:t>
      </w:r>
      <w:r>
        <w:rPr>
          <w:rFonts w:hint="eastAsia" w:ascii="仿宋" w:hAnsi="仿宋" w:eastAsia="仿宋" w:cs="仿宋"/>
          <w:spacing w:val="9"/>
          <w:sz w:val="32"/>
          <w:szCs w:val="32"/>
        </w:rPr>
        <w:t>，并根据参</w:t>
      </w:r>
      <w:r>
        <w:rPr>
          <w:rFonts w:hint="eastAsia" w:ascii="仿宋" w:hAnsi="仿宋" w:eastAsia="仿宋" w:cs="仿宋"/>
          <w:spacing w:val="13"/>
          <w:sz w:val="32"/>
          <w:szCs w:val="32"/>
        </w:rPr>
        <w:t>评人员年级专业为单位，按2%、3%、10%、20%的比例划定奖学</w:t>
      </w:r>
      <w:r>
        <w:rPr>
          <w:rFonts w:hint="eastAsia" w:ascii="仿宋" w:hAnsi="仿宋" w:eastAsia="仿宋" w:cs="仿宋"/>
          <w:spacing w:val="6"/>
          <w:sz w:val="32"/>
          <w:szCs w:val="32"/>
        </w:rPr>
        <w:t>金等级。特等奖学金申请条件应符合智育排名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前15%，如未达到，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仅可获得一等奖学金。特等奖、一等奖、二等奖、三等奖分别为</w:t>
      </w:r>
      <w:r>
        <w:rPr>
          <w:rFonts w:hint="eastAsia" w:ascii="仿宋" w:hAnsi="仿宋" w:eastAsia="仿宋" w:cs="仿宋"/>
          <w:spacing w:val="5"/>
          <w:sz w:val="32"/>
          <w:szCs w:val="32"/>
        </w:rPr>
        <w:t>每年4000元、2000元、800元、400元。单项奖的评比办法按附</w:t>
      </w:r>
      <w:r>
        <w:rPr>
          <w:rFonts w:hint="eastAsia" w:ascii="仿宋" w:hAnsi="仿宋" w:eastAsia="仿宋" w:cs="仿宋"/>
          <w:spacing w:val="7"/>
          <w:sz w:val="32"/>
          <w:szCs w:val="32"/>
        </w:rPr>
        <w:t>表2进行，获单项奖人数的比例控制在20％</w:t>
      </w:r>
      <w:r>
        <w:rPr>
          <w:rFonts w:hint="eastAsia" w:ascii="仿宋" w:hAnsi="仿宋" w:eastAsia="仿宋" w:cs="仿宋"/>
          <w:spacing w:val="7"/>
          <w:sz w:val="32"/>
          <w:szCs w:val="32"/>
          <w:highlight w:val="none"/>
        </w:rPr>
        <w:t>以内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</w:rPr>
        <w:t>。单项奖金额为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</w:rPr>
        <w:t>每年200元。</w:t>
      </w:r>
    </w:p>
    <w:p w14:paraId="7A3A9EE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8" w:line="560" w:lineRule="exact"/>
        <w:ind w:left="5" w:right="103" w:firstLine="414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初评有必修课不及格获得二等以上奖学金的需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lang w:eastAsia="zh-CN"/>
        </w:rPr>
        <w:t>经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学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lang w:eastAsia="zh-CN"/>
        </w:rPr>
        <w:t>院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复评，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lang w:eastAsia="zh-CN"/>
        </w:rPr>
        <w:t>不及格课程的不及格率小于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lang w:val="en-US" w:eastAsia="zh-CN"/>
        </w:rPr>
        <w:t>30%进行奖学金降等处理。</w:t>
      </w:r>
    </w:p>
    <w:p w14:paraId="53A3079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" w:line="560" w:lineRule="exact"/>
        <w:ind w:left="25" w:right="56" w:firstLine="397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7"/>
          <w:sz w:val="32"/>
          <w:szCs w:val="32"/>
          <w:highlight w:val="none"/>
        </w:rPr>
        <w:t>专业素质得分列专业年级前8%，按综合得分排列未获得二等以上奖学金者，可享受二等奖学金。</w:t>
      </w:r>
    </w:p>
    <w:p w14:paraId="04FF044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" w:line="560" w:lineRule="exact"/>
        <w:ind w:left="25" w:right="56" w:firstLine="397"/>
        <w:jc w:val="both"/>
        <w:textAlignment w:val="baseline"/>
        <w:rPr>
          <w:rFonts w:hint="eastAsia" w:ascii="仿宋" w:hAnsi="仿宋" w:eastAsia="仿宋" w:cs="仿宋"/>
          <w:spacing w:val="7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7"/>
          <w:sz w:val="32"/>
          <w:szCs w:val="32"/>
          <w:highlight w:val="none"/>
        </w:rPr>
        <w:t>有二门及以上课程不及格的学生，不享受奖学金待遇。</w:t>
      </w:r>
    </w:p>
    <w:p w14:paraId="577D075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" w:line="560" w:lineRule="exact"/>
        <w:ind w:left="25" w:right="56" w:firstLine="397"/>
        <w:jc w:val="both"/>
        <w:textAlignment w:val="baseline"/>
        <w:rPr>
          <w:rFonts w:hint="eastAsia" w:ascii="仿宋" w:hAnsi="仿宋" w:eastAsia="仿宋" w:cs="仿宋"/>
          <w:spacing w:val="7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pacing w:val="7"/>
          <w:sz w:val="32"/>
          <w:szCs w:val="32"/>
          <w:highlight w:val="none"/>
          <w:lang w:eastAsia="zh-CN"/>
        </w:rPr>
        <w:t>奖学金实行分月打卡发放。学校奖学金与国家政府颁发的奖学金取高限不兼得。</w:t>
      </w:r>
    </w:p>
    <w:p w14:paraId="39332CE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0" w:line="560" w:lineRule="exact"/>
        <w:ind w:left="421" w:right="527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第十四条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学院三好学生、优秀学生干部评定标准：</w:t>
      </w:r>
    </w:p>
    <w:p w14:paraId="772BDC2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" w:line="560" w:lineRule="exact"/>
        <w:ind w:right="91" w:firstLine="421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9"/>
          <w:sz w:val="32"/>
          <w:szCs w:val="32"/>
        </w:rPr>
        <w:t>测评结果列前10%，经学院考核后可授予“学院三好学生、</w:t>
      </w:r>
      <w:r>
        <w:rPr>
          <w:rFonts w:hint="eastAsia" w:ascii="仿宋" w:hAnsi="仿宋" w:eastAsia="仿宋" w:cs="仿宋"/>
          <w:spacing w:val="4"/>
          <w:sz w:val="32"/>
          <w:szCs w:val="32"/>
        </w:rPr>
        <w:t>优秀学生干部”称号。</w:t>
      </w:r>
    </w:p>
    <w:p w14:paraId="687AB2A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0" w:line="560" w:lineRule="exact"/>
        <w:ind w:left="421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第十五条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学校三好学生、优秀学生干部的评定标准：</w:t>
      </w:r>
    </w:p>
    <w:p w14:paraId="07B30F9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line="560" w:lineRule="exact"/>
        <w:ind w:left="1" w:right="53" w:firstLine="42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测评结果列前3%，经学院推荐，学校批准后可授予“学校三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好学生、优秀学生干部”称号。</w:t>
      </w:r>
    </w:p>
    <w:p w14:paraId="4F9F5AE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560" w:lineRule="exact"/>
        <w:ind w:left="4" w:right="53" w:firstLine="417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第十六条</w:t>
      </w: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校学生标兵、省和国家“三好学生、优秀</w:t>
      </w:r>
      <w:r>
        <w:rPr>
          <w:rFonts w:hint="eastAsia" w:ascii="仿宋" w:hAnsi="仿宋" w:eastAsia="仿宋" w:cs="仿宋"/>
          <w:spacing w:val="9"/>
          <w:sz w:val="32"/>
          <w:szCs w:val="32"/>
        </w:rPr>
        <w:t>学生干</w:t>
      </w:r>
      <w:r>
        <w:rPr>
          <w:rFonts w:hint="eastAsia" w:ascii="仿宋" w:hAnsi="仿宋" w:eastAsia="仿宋" w:cs="仿宋"/>
          <w:spacing w:val="2"/>
          <w:sz w:val="32"/>
          <w:szCs w:val="32"/>
        </w:rPr>
        <w:t>部”评定标准：</w:t>
      </w:r>
    </w:p>
    <w:p w14:paraId="32C110D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" w:after="0" w:afterLines="50" w:line="560" w:lineRule="exact"/>
        <w:ind w:left="0" w:right="57" w:firstLine="42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在学校三好、优干获得者基础上由各学院按当年实际情况推</w:t>
      </w:r>
      <w:r>
        <w:rPr>
          <w:rFonts w:hint="eastAsia" w:ascii="仿宋" w:hAnsi="仿宋" w:eastAsia="仿宋" w:cs="仿宋"/>
          <w:spacing w:val="7"/>
          <w:sz w:val="32"/>
          <w:szCs w:val="32"/>
        </w:rPr>
        <w:t>荐，报学校审批。</w:t>
      </w:r>
    </w:p>
    <w:p w14:paraId="5362725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after="0" w:afterLines="50" w:line="560" w:lineRule="exact"/>
        <w:jc w:val="center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6"/>
          <w:sz w:val="32"/>
          <w:szCs w:val="32"/>
        </w:rPr>
        <w:t>第六章</w:t>
      </w:r>
      <w:r>
        <w:rPr>
          <w:rFonts w:hint="eastAsia" w:ascii="黑体" w:hAnsi="黑体" w:eastAsia="黑体" w:cs="黑体"/>
          <w:b/>
          <w:bCs/>
          <w:spacing w:val="6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pacing w:val="6"/>
          <w:sz w:val="32"/>
          <w:szCs w:val="32"/>
        </w:rPr>
        <w:t>测评工作纪律</w:t>
      </w:r>
    </w:p>
    <w:p w14:paraId="5885B3D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560" w:lineRule="exact"/>
        <w:ind w:right="54" w:firstLine="421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第十七条</w:t>
      </w: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各基层班级必须严肃认真地对待测评</w:t>
      </w:r>
      <w:r>
        <w:rPr>
          <w:rFonts w:hint="eastAsia" w:ascii="仿宋" w:hAnsi="仿宋" w:eastAsia="仿宋" w:cs="仿宋"/>
          <w:spacing w:val="9"/>
          <w:sz w:val="32"/>
          <w:szCs w:val="32"/>
        </w:rPr>
        <w:t>工作，必须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坚持实事求是和公正公平，避免片面性、随意性。既要防止打人</w:t>
      </w:r>
      <w:r>
        <w:rPr>
          <w:rFonts w:hint="eastAsia" w:ascii="仿宋" w:hAnsi="仿宋" w:eastAsia="仿宋" w:cs="仿宋"/>
          <w:spacing w:val="8"/>
          <w:sz w:val="32"/>
          <w:szCs w:val="32"/>
        </w:rPr>
        <w:t>情分，又要防止走过场和形式主义。</w:t>
      </w:r>
    </w:p>
    <w:p w14:paraId="5A76207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" w:line="560" w:lineRule="exact"/>
        <w:ind w:left="5" w:right="54" w:firstLine="416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第十八条</w:t>
      </w: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各班班长有责任收集并妥善保存本细</w:t>
      </w:r>
      <w:r>
        <w:rPr>
          <w:rFonts w:hint="eastAsia" w:ascii="仿宋" w:hAnsi="仿宋" w:eastAsia="仿宋" w:cs="仿宋"/>
          <w:spacing w:val="9"/>
          <w:sz w:val="32"/>
          <w:szCs w:val="32"/>
        </w:rPr>
        <w:t>则要求的有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关测评依据，如因其主观原因造成上述资料缺失或损毁的，应免</w:t>
      </w:r>
      <w:r>
        <w:rPr>
          <w:rFonts w:hint="eastAsia" w:ascii="仿宋" w:hAnsi="仿宋" w:eastAsia="仿宋" w:cs="仿宋"/>
          <w:spacing w:val="8"/>
          <w:sz w:val="32"/>
          <w:szCs w:val="32"/>
        </w:rPr>
        <w:t>除其所担任职务，并不得再任其他职务。</w:t>
      </w:r>
    </w:p>
    <w:p w14:paraId="1786EE0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after="0" w:afterLines="50" w:line="560" w:lineRule="exact"/>
        <w:ind w:left="0" w:firstLine="420"/>
        <w:jc w:val="both"/>
        <w:textAlignment w:val="baseline"/>
        <w:rPr>
          <w:rFonts w:hint="eastAsia" w:ascii="仿宋" w:hAnsi="仿宋" w:eastAsia="仿宋" w:cs="仿宋"/>
          <w:spacing w:val="7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第十</w:t>
      </w:r>
      <w:r>
        <w:rPr>
          <w:rFonts w:hint="eastAsia" w:ascii="仿宋" w:hAnsi="仿宋" w:eastAsia="仿宋" w:cs="仿宋"/>
          <w:spacing w:val="10"/>
          <w:sz w:val="32"/>
          <w:szCs w:val="32"/>
          <w:lang w:eastAsia="zh-CN"/>
        </w:rPr>
        <w:t>九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条</w:t>
      </w: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对于在测评工作中发生的违纪情况，</w:t>
      </w:r>
      <w:r>
        <w:rPr>
          <w:rFonts w:hint="eastAsia" w:ascii="仿宋" w:hAnsi="仿宋" w:eastAsia="仿宋" w:cs="仿宋"/>
          <w:spacing w:val="9"/>
          <w:sz w:val="32"/>
          <w:szCs w:val="32"/>
        </w:rPr>
        <w:t>有关部门将</w:t>
      </w:r>
      <w:r>
        <w:rPr>
          <w:rFonts w:hint="eastAsia" w:ascii="仿宋" w:hAnsi="仿宋" w:eastAsia="仿宋" w:cs="仿宋"/>
          <w:spacing w:val="5"/>
          <w:sz w:val="32"/>
          <w:szCs w:val="32"/>
        </w:rPr>
        <w:t>予以严肃查处。对有关责任人员除进行批评教育外，情</w:t>
      </w:r>
      <w:r>
        <w:rPr>
          <w:rFonts w:hint="eastAsia" w:ascii="仿宋" w:hAnsi="仿宋" w:eastAsia="仿宋" w:cs="仿宋"/>
          <w:spacing w:val="4"/>
          <w:sz w:val="32"/>
          <w:szCs w:val="32"/>
        </w:rPr>
        <w:t>节严重的，</w:t>
      </w:r>
      <w:r>
        <w:rPr>
          <w:rFonts w:hint="eastAsia" w:ascii="仿宋" w:hAnsi="仿宋" w:eastAsia="仿宋" w:cs="仿宋"/>
          <w:spacing w:val="7"/>
          <w:sz w:val="32"/>
          <w:szCs w:val="32"/>
        </w:rPr>
        <w:t>给予行政纪律处分。</w:t>
      </w:r>
    </w:p>
    <w:p w14:paraId="0B498FF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after="0" w:afterLines="50" w:line="560" w:lineRule="exact"/>
        <w:jc w:val="center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"/>
          <w:sz w:val="32"/>
          <w:szCs w:val="32"/>
        </w:rPr>
        <w:t>第七章</w:t>
      </w:r>
      <w:r>
        <w:rPr>
          <w:rFonts w:hint="eastAsia" w:ascii="黑体" w:hAnsi="黑体" w:eastAsia="黑体" w:cs="黑体"/>
          <w:b/>
          <w:bCs/>
          <w:spacing w:val="-1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pacing w:val="-1"/>
          <w:sz w:val="32"/>
          <w:szCs w:val="32"/>
        </w:rPr>
        <w:t>附则</w:t>
      </w:r>
    </w:p>
    <w:p w14:paraId="54F72F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第二十条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本实施办法自颁布日起实施。</w:t>
      </w:r>
    </w:p>
    <w:p w14:paraId="5AFA41A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第二十一条本实施办法由商学院负责解释。</w:t>
      </w:r>
    </w:p>
    <w:p w14:paraId="330DB44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附表：</w:t>
      </w:r>
    </w:p>
    <w:p w14:paraId="06709B7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2" w:line="560" w:lineRule="exact"/>
        <w:ind w:left="431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1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常州大学商学院学生德育素质测评参考表</w:t>
      </w:r>
    </w:p>
    <w:p w14:paraId="3A85681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560" w:lineRule="exact"/>
        <w:ind w:left="425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9"/>
          <w:sz w:val="32"/>
          <w:szCs w:val="32"/>
        </w:rPr>
        <w:t>2</w:t>
      </w:r>
      <w:r>
        <w:rPr>
          <w:rFonts w:hint="eastAsia" w:ascii="仿宋" w:hAnsi="仿宋" w:eastAsia="仿宋" w:cs="仿宋"/>
          <w:spacing w:val="9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pacing w:val="9"/>
          <w:sz w:val="32"/>
          <w:szCs w:val="32"/>
        </w:rPr>
        <w:t>常州大学商学院学生单项奖学金评比办法</w:t>
      </w:r>
    </w:p>
    <w:p w14:paraId="4BFDFF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09D164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477CB1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2D9128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239C18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3A8DDE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556771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5EB8A07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560" w:lineRule="exact"/>
        <w:jc w:val="both"/>
        <w:textAlignment w:val="baseline"/>
        <w:rPr>
          <w:rFonts w:hint="eastAsia" w:ascii="仿宋" w:hAnsi="仿宋" w:eastAsia="仿宋" w:cs="仿宋"/>
          <w:b/>
          <w:bCs/>
          <w:spacing w:val="-6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6"/>
          <w:sz w:val="32"/>
          <w:szCs w:val="32"/>
        </w:rPr>
        <w:t>附件1：</w:t>
      </w:r>
    </w:p>
    <w:p w14:paraId="4108D63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560" w:lineRule="exact"/>
        <w:jc w:val="both"/>
        <w:textAlignment w:val="baseline"/>
        <w:rPr>
          <w:rFonts w:hint="eastAsia" w:ascii="仿宋" w:hAnsi="仿宋" w:eastAsia="仿宋" w:cs="仿宋"/>
          <w:b/>
          <w:bCs/>
          <w:spacing w:val="-6"/>
          <w:sz w:val="32"/>
          <w:szCs w:val="32"/>
        </w:rPr>
      </w:pPr>
    </w:p>
    <w:p w14:paraId="153136A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1" w:line="560" w:lineRule="exact"/>
        <w:jc w:val="center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7"/>
          <w:sz w:val="32"/>
          <w:szCs w:val="32"/>
        </w:rPr>
        <w:t>常州大学商学院学生德育素质测评参考表</w:t>
      </w:r>
    </w:p>
    <w:p w14:paraId="25107C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8"/>
        <w:tblW w:w="867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"/>
        <w:gridCol w:w="409"/>
        <w:gridCol w:w="2"/>
        <w:gridCol w:w="3082"/>
        <w:gridCol w:w="27"/>
        <w:gridCol w:w="3425"/>
        <w:gridCol w:w="14"/>
        <w:gridCol w:w="982"/>
        <w:gridCol w:w="19"/>
        <w:gridCol w:w="638"/>
        <w:gridCol w:w="77"/>
      </w:tblGrid>
      <w:tr w14:paraId="3CBD8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4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A4293A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560" w:lineRule="exact"/>
              <w:jc w:val="both"/>
              <w:textAlignment w:val="baseline"/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</w:rPr>
              <w:t>项</w:t>
            </w:r>
            <w:r>
              <w:rPr>
                <w:rFonts w:hint="eastAsia" w:ascii="仿宋" w:hAnsi="仿宋" w:eastAsia="仿宋" w:cs="仿宋"/>
                <w:spacing w:val="8"/>
                <w:position w:val="1"/>
                <w:sz w:val="32"/>
                <w:szCs w:val="32"/>
              </w:rPr>
              <w:t>目</w:t>
            </w:r>
          </w:p>
        </w:tc>
        <w:tc>
          <w:tcPr>
            <w:tcW w:w="3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6C722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3ABF8A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</w:rPr>
              <w:t>评价内容</w:t>
            </w:r>
          </w:p>
        </w:tc>
        <w:tc>
          <w:tcPr>
            <w:tcW w:w="346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EF6C5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094760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56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</w:rPr>
              <w:t>评价标准</w:t>
            </w:r>
          </w:p>
        </w:tc>
        <w:tc>
          <w:tcPr>
            <w:tcW w:w="982" w:type="dxa"/>
            <w:tcBorders>
              <w:left w:val="single" w:color="000000" w:sz="6" w:space="0"/>
            </w:tcBorders>
            <w:vAlign w:val="top"/>
          </w:tcPr>
          <w:p w14:paraId="1F096D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6116E7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560" w:lineRule="exact"/>
              <w:ind w:left="347" w:leftChars="0"/>
              <w:jc w:val="both"/>
              <w:textAlignment w:val="baseline"/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>满分</w:t>
            </w:r>
          </w:p>
        </w:tc>
        <w:tc>
          <w:tcPr>
            <w:tcW w:w="734" w:type="dxa"/>
            <w:gridSpan w:val="3"/>
            <w:textDirection w:val="tbRlV"/>
            <w:vAlign w:val="top"/>
          </w:tcPr>
          <w:p w14:paraId="76E18C1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560" w:lineRule="exact"/>
              <w:ind w:left="75" w:leftChars="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  <w:t>班级评议</w:t>
            </w:r>
          </w:p>
        </w:tc>
      </w:tr>
      <w:tr w14:paraId="501328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13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661B872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</w:pPr>
          </w:p>
          <w:p w14:paraId="5A352A0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</w:pPr>
          </w:p>
          <w:p w14:paraId="3A01C49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560" w:lineRule="exact"/>
              <w:ind w:right="135" w:firstLine="330" w:firstLineChars="100"/>
              <w:jc w:val="both"/>
              <w:textAlignment w:val="baseline"/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</w:pPr>
          </w:p>
          <w:p w14:paraId="0902D2A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560" w:lineRule="exact"/>
              <w:ind w:right="135"/>
              <w:jc w:val="both"/>
              <w:textAlignment w:val="baseline"/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>政治表现</w:t>
            </w:r>
          </w:p>
        </w:tc>
        <w:tc>
          <w:tcPr>
            <w:tcW w:w="308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133A22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C1E865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560" w:lineRule="exact"/>
              <w:ind w:left="111" w:leftChars="0" w:right="52" w:rightChars="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  <w:t>拥护中国共产党领导，努力学习马克思列宁主</w:t>
            </w: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</w:rPr>
              <w:t>义、毛泽东思想、中国特色社会主义理论体系，</w:t>
            </w:r>
            <w:r>
              <w:rPr>
                <w:rFonts w:hint="eastAsia" w:ascii="仿宋" w:hAnsi="仿宋" w:eastAsia="仿宋" w:cs="仿宋"/>
                <w:spacing w:val="16"/>
                <w:sz w:val="32"/>
                <w:szCs w:val="32"/>
              </w:rPr>
              <w:t>深入学习习近平总书记系列重要讲话精神和</w:t>
            </w:r>
            <w:r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  <w:t>治国理政新理念新思想新战略，坚定中国特色社会主义道路自信、理论自信、制度自信、文</w:t>
            </w:r>
            <w:r>
              <w:rPr>
                <w:rFonts w:hint="eastAsia" w:ascii="仿宋" w:hAnsi="仿宋" w:eastAsia="仿宋" w:cs="仿宋"/>
                <w:spacing w:val="9"/>
                <w:sz w:val="32"/>
                <w:szCs w:val="32"/>
              </w:rPr>
              <w:t>化自信，树立中国特色社会主义共同理想</w:t>
            </w:r>
            <w:r>
              <w:rPr>
                <w:rFonts w:hint="eastAsia" w:ascii="仿宋" w:hAnsi="仿宋" w:eastAsia="仿宋" w:cs="仿宋"/>
                <w:color w:val="444444"/>
                <w:spacing w:val="9"/>
                <w:sz w:val="32"/>
                <w:szCs w:val="32"/>
              </w:rPr>
              <w:t>。</w:t>
            </w:r>
          </w:p>
        </w:tc>
        <w:tc>
          <w:tcPr>
            <w:tcW w:w="346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6C2681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560" w:lineRule="exact"/>
              <w:ind w:left="111" w:leftChars="0" w:right="104" w:rightChars="0" w:firstLine="3" w:firstLineChars="0"/>
              <w:jc w:val="both"/>
              <w:textAlignment w:val="baseline"/>
              <w:rPr>
                <w:rFonts w:hint="eastAsia" w:ascii="仿宋" w:hAnsi="仿宋" w:eastAsia="仿宋" w:cs="仿宋"/>
                <w:spacing w:val="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0"/>
                <w:sz w:val="32"/>
                <w:szCs w:val="32"/>
              </w:rPr>
              <w:t>坚持正确的政治立场；政治上进心强，能主动向党组织靠拢；服从组织安排，积极参加各项有关政治活动；关心时事政治，积极参加政治理论学</w:t>
            </w: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习。</w:t>
            </w:r>
          </w:p>
        </w:tc>
        <w:tc>
          <w:tcPr>
            <w:tcW w:w="982" w:type="dxa"/>
            <w:tcBorders>
              <w:left w:val="single" w:color="000000" w:sz="6" w:space="0"/>
            </w:tcBorders>
            <w:vAlign w:val="top"/>
          </w:tcPr>
          <w:p w14:paraId="3B22A2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B9EED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C65B20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560" w:lineRule="exact"/>
              <w:ind w:left="123" w:leftChars="0"/>
              <w:jc w:val="center"/>
              <w:textAlignment w:val="baseline"/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16</w:t>
            </w:r>
          </w:p>
        </w:tc>
        <w:tc>
          <w:tcPr>
            <w:tcW w:w="734" w:type="dxa"/>
            <w:gridSpan w:val="3"/>
            <w:vAlign w:val="top"/>
          </w:tcPr>
          <w:p w14:paraId="4377A4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04D0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</w:trPr>
        <w:tc>
          <w:tcPr>
            <w:tcW w:w="413" w:type="dxa"/>
            <w:gridSpan w:val="3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tbRlV"/>
            <w:vAlign w:val="top"/>
          </w:tcPr>
          <w:p w14:paraId="782BC0B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560" w:lineRule="exact"/>
              <w:ind w:left="940"/>
              <w:jc w:val="both"/>
              <w:textAlignment w:val="baseline"/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</w:pPr>
          </w:p>
        </w:tc>
        <w:tc>
          <w:tcPr>
            <w:tcW w:w="308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509E31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560" w:lineRule="exact"/>
              <w:ind w:left="111" w:right="38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6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A1672C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6" w:line="560" w:lineRule="exact"/>
              <w:ind w:left="114" w:leftChars="0" w:right="104" w:rightChars="0" w:firstLine="1" w:firstLineChars="0"/>
              <w:jc w:val="both"/>
              <w:textAlignment w:val="baseline"/>
              <w:rPr>
                <w:rFonts w:hint="eastAsia" w:ascii="仿宋" w:hAnsi="仿宋" w:eastAsia="仿宋" w:cs="仿宋"/>
                <w:spacing w:val="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0"/>
                <w:sz w:val="32"/>
                <w:szCs w:val="32"/>
              </w:rPr>
              <w:t>不参加学校、学院统一组织的政治活动，理论学</w:t>
            </w: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</w:rPr>
              <w:t>习活动、讲座等，每次扣0.1分</w:t>
            </w: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  <w:highlight w:val="none"/>
              </w:rPr>
              <w:t>；有不当言</w:t>
            </w:r>
            <w:r>
              <w:rPr>
                <w:rFonts w:hint="eastAsia" w:ascii="仿宋" w:hAnsi="仿宋" w:eastAsia="仿宋" w:cs="仿宋"/>
                <w:spacing w:val="2"/>
                <w:sz w:val="32"/>
                <w:szCs w:val="32"/>
                <w:highlight w:val="none"/>
              </w:rPr>
              <w:t>论者扣</w:t>
            </w:r>
            <w:r>
              <w:rPr>
                <w:rFonts w:hint="eastAsia" w:ascii="仿宋" w:hAnsi="仿宋" w:eastAsia="仿宋" w:cs="仿宋"/>
                <w:spacing w:val="2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2"/>
                <w:sz w:val="32"/>
                <w:szCs w:val="32"/>
                <w:highlight w:val="none"/>
              </w:rPr>
              <w:t>分。</w:t>
            </w:r>
          </w:p>
        </w:tc>
        <w:tc>
          <w:tcPr>
            <w:tcW w:w="982" w:type="dxa"/>
            <w:tcBorders>
              <w:left w:val="single" w:color="000000" w:sz="6" w:space="0"/>
            </w:tcBorders>
            <w:vAlign w:val="top"/>
          </w:tcPr>
          <w:p w14:paraId="5F93D2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150E16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560" w:lineRule="exact"/>
              <w:ind w:left="116" w:leftChars="0" w:right="151" w:rightChars="0"/>
              <w:jc w:val="both"/>
              <w:textAlignment w:val="baseline"/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3（3起，</w:t>
            </w:r>
            <w:r>
              <w:rPr>
                <w:rFonts w:hint="eastAsia" w:ascii="仿宋" w:hAnsi="仿宋" w:eastAsia="仿宋" w:cs="仿宋"/>
                <w:spacing w:val="4"/>
                <w:sz w:val="32"/>
                <w:szCs w:val="32"/>
              </w:rPr>
              <w:t>扣分制）</w:t>
            </w:r>
          </w:p>
        </w:tc>
        <w:tc>
          <w:tcPr>
            <w:tcW w:w="734" w:type="dxa"/>
            <w:gridSpan w:val="3"/>
            <w:vAlign w:val="top"/>
          </w:tcPr>
          <w:p w14:paraId="51A22E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5548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413" w:type="dxa"/>
            <w:gridSpan w:val="3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 w14:paraId="5EAE53A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560" w:lineRule="exact"/>
              <w:jc w:val="both"/>
              <w:textAlignment w:val="baseline"/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</w:pPr>
          </w:p>
          <w:p w14:paraId="3E939A1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560" w:lineRule="exact"/>
              <w:jc w:val="both"/>
              <w:textAlignment w:val="baseline"/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</w:pPr>
          </w:p>
          <w:p w14:paraId="35205DA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560" w:lineRule="exact"/>
              <w:jc w:val="both"/>
              <w:textAlignment w:val="baseline"/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</w:pPr>
          </w:p>
          <w:p w14:paraId="320C8F8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560" w:lineRule="exact"/>
              <w:jc w:val="both"/>
              <w:textAlignment w:val="baseline"/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  <w:t>道</w:t>
            </w: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>德修养</w:t>
            </w:r>
          </w:p>
          <w:p w14:paraId="2EC64EF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560" w:lineRule="exact"/>
              <w:ind w:firstLine="334" w:firstLineChars="100"/>
              <w:jc w:val="both"/>
              <w:textAlignment w:val="baseline"/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</w:pPr>
          </w:p>
        </w:tc>
        <w:tc>
          <w:tcPr>
            <w:tcW w:w="3082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 w14:paraId="53EE06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61963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933FC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12105C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560" w:lineRule="exact"/>
              <w:ind w:left="111" w:right="38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树立爱国主义思想，具有团结统一、爱好和平、</w:t>
            </w:r>
            <w:r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  <w:t>勤劳勇敢、自强不息的精神。注重思想道德修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养，自觉遵守社会公德，自尊自爱，尊敬师长，</w:t>
            </w:r>
            <w:r>
              <w:rPr>
                <w:rFonts w:hint="eastAsia" w:ascii="仿宋" w:hAnsi="仿宋" w:eastAsia="仿宋" w:cs="仿宋"/>
                <w:spacing w:val="9"/>
                <w:sz w:val="32"/>
                <w:szCs w:val="32"/>
              </w:rPr>
              <w:t>关心集体，团结同学，乐于助人，诚实守信，</w:t>
            </w: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</w:rPr>
              <w:t>知行统一，举止文明，勤俭节约。</w:t>
            </w:r>
          </w:p>
        </w:tc>
        <w:tc>
          <w:tcPr>
            <w:tcW w:w="3466" w:type="dxa"/>
            <w:gridSpan w:val="3"/>
            <w:tcBorders>
              <w:top w:val="single" w:color="000000" w:sz="6" w:space="0"/>
            </w:tcBorders>
            <w:vAlign w:val="top"/>
          </w:tcPr>
          <w:p w14:paraId="655ABB3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560" w:lineRule="exact"/>
              <w:ind w:left="112" w:right="36" w:firstLine="3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4"/>
                <w:sz w:val="32"/>
                <w:szCs w:val="32"/>
              </w:rPr>
              <w:t>不断加强和提高自己的道德修养；遵守社会公德；讲文明、讲礼貌，爱护公物，遵守社会公共秩序。</w:t>
            </w:r>
          </w:p>
        </w:tc>
        <w:tc>
          <w:tcPr>
            <w:tcW w:w="982" w:type="dxa"/>
            <w:vAlign w:val="top"/>
          </w:tcPr>
          <w:p w14:paraId="1FD2EA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C28C30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560" w:lineRule="exact"/>
              <w:ind w:left="123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16</w:t>
            </w:r>
          </w:p>
        </w:tc>
        <w:tc>
          <w:tcPr>
            <w:tcW w:w="734" w:type="dxa"/>
            <w:gridSpan w:val="3"/>
            <w:vAlign w:val="top"/>
          </w:tcPr>
          <w:p w14:paraId="3C34BF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CD68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3" w:hRule="atLeast"/>
        </w:trPr>
        <w:tc>
          <w:tcPr>
            <w:tcW w:w="413" w:type="dxa"/>
            <w:gridSpan w:val="3"/>
            <w:vMerge w:val="continue"/>
            <w:tcBorders>
              <w:top w:val="nil"/>
            </w:tcBorders>
            <w:textDirection w:val="tbRlV"/>
            <w:vAlign w:val="top"/>
          </w:tcPr>
          <w:p w14:paraId="592C93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082" w:type="dxa"/>
            <w:vMerge w:val="continue"/>
            <w:tcBorders>
              <w:top w:val="nil"/>
            </w:tcBorders>
            <w:vAlign w:val="top"/>
          </w:tcPr>
          <w:p w14:paraId="2654D3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66" w:type="dxa"/>
            <w:gridSpan w:val="3"/>
            <w:vAlign w:val="top"/>
          </w:tcPr>
          <w:p w14:paraId="6480A9E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560" w:lineRule="exact"/>
              <w:ind w:left="111" w:right="65" w:firstLine="2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9"/>
                <w:sz w:val="32"/>
                <w:szCs w:val="32"/>
                <w:highlight w:val="none"/>
                <w:shd w:val="clear" w:color="auto" w:fill="auto"/>
              </w:rPr>
              <w:t>参加校内组织的志愿者服务活动有记录的加0.1</w:t>
            </w:r>
            <w:r>
              <w:rPr>
                <w:rFonts w:hint="eastAsia" w:ascii="仿宋" w:hAnsi="仿宋" w:eastAsia="仿宋" w:cs="仿宋"/>
                <w:spacing w:val="9"/>
                <w:sz w:val="32"/>
                <w:szCs w:val="32"/>
                <w:highlight w:val="none"/>
                <w:shd w:val="clear" w:color="auto" w:fill="auto"/>
                <w:lang w:eastAsia="zh-CN"/>
              </w:rPr>
              <w:t>分，</w:t>
            </w: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  <w:highlight w:val="none"/>
                <w:shd w:val="clear" w:color="auto" w:fill="auto"/>
              </w:rPr>
              <w:t>参加志愿者服务活动个人受院级表彰加0.3分，校级表彰加</w:t>
            </w: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  <w:highlight w:val="none"/>
                <w:shd w:val="clear" w:color="auto" w:fill="auto"/>
              </w:rPr>
              <w:t>0.6分，市级表彰加0.8分，省级及以上表彰加1分</w:t>
            </w: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  <w:highlight w:val="none"/>
                <w:shd w:val="clear" w:color="auto" w:fill="auto"/>
              </w:rPr>
              <w:t>；有不文明或不道德行为者，每次扣</w:t>
            </w:r>
            <w:r>
              <w:rPr>
                <w:rFonts w:hint="eastAsia" w:ascii="仿宋" w:hAnsi="仿宋" w:eastAsia="仿宋" w:cs="仿宋"/>
                <w:spacing w:val="4"/>
                <w:sz w:val="32"/>
                <w:szCs w:val="32"/>
                <w:highlight w:val="none"/>
                <w:shd w:val="clear" w:color="auto" w:fill="auto"/>
              </w:rPr>
              <w:t>0</w:t>
            </w:r>
            <w:r>
              <w:rPr>
                <w:rFonts w:hint="eastAsia" w:ascii="仿宋" w:hAnsi="仿宋" w:eastAsia="仿宋" w:cs="仿宋"/>
                <w:spacing w:val="4"/>
                <w:sz w:val="32"/>
                <w:szCs w:val="32"/>
                <w:highlight w:val="none"/>
              </w:rPr>
              <w:t>.2</w:t>
            </w:r>
            <w:r>
              <w:rPr>
                <w:rFonts w:hint="eastAsia" w:ascii="仿宋" w:hAnsi="仿宋" w:eastAsia="仿宋" w:cs="仿宋"/>
                <w:spacing w:val="4"/>
                <w:sz w:val="32"/>
                <w:szCs w:val="32"/>
              </w:rPr>
              <w:t>分；破坏校内外公共物品或扰乱社会秩序者，</w:t>
            </w: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</w:rPr>
              <w:t>每次扣0.2分；发生同学间矛盾并且处理不当的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每次扣0.3分；打架或辱骂他人者酌情扣0</w:t>
            </w: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</w:rPr>
              <w:t>.3-0.5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分；不尊重师长者根据情况扣0.3-0.5分。</w:t>
            </w:r>
          </w:p>
        </w:tc>
        <w:tc>
          <w:tcPr>
            <w:tcW w:w="982" w:type="dxa"/>
            <w:vAlign w:val="top"/>
          </w:tcPr>
          <w:p w14:paraId="3C5B0F1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560" w:lineRule="exact"/>
              <w:ind w:left="187" w:right="104" w:hanging="188"/>
              <w:jc w:val="both"/>
              <w:textAlignment w:val="baseline"/>
              <w:rPr>
                <w:rFonts w:hint="eastAsia" w:ascii="仿宋" w:hAnsi="仿宋" w:eastAsia="仿宋" w:cs="仿宋"/>
                <w:spacing w:val="-8"/>
                <w:sz w:val="32"/>
                <w:szCs w:val="32"/>
              </w:rPr>
            </w:pPr>
          </w:p>
          <w:p w14:paraId="3DCF364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560" w:lineRule="exact"/>
              <w:ind w:left="187" w:right="104" w:hanging="188"/>
              <w:jc w:val="both"/>
              <w:textAlignment w:val="baseline"/>
              <w:rPr>
                <w:rFonts w:hint="eastAsia" w:ascii="仿宋" w:hAnsi="仿宋" w:eastAsia="仿宋" w:cs="仿宋"/>
                <w:spacing w:val="-8"/>
                <w:sz w:val="32"/>
                <w:szCs w:val="32"/>
              </w:rPr>
            </w:pPr>
          </w:p>
          <w:p w14:paraId="4918081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560" w:lineRule="exact"/>
              <w:ind w:left="187" w:right="104" w:hanging="188"/>
              <w:jc w:val="both"/>
              <w:textAlignment w:val="baseline"/>
              <w:rPr>
                <w:rFonts w:hint="eastAsia" w:ascii="仿宋" w:hAnsi="仿宋" w:eastAsia="仿宋" w:cs="仿宋"/>
                <w:spacing w:val="-8"/>
                <w:sz w:val="32"/>
                <w:szCs w:val="32"/>
              </w:rPr>
            </w:pPr>
          </w:p>
          <w:p w14:paraId="229C8FC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560" w:lineRule="exact"/>
              <w:ind w:left="187" w:right="104" w:hanging="188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8"/>
                <w:sz w:val="32"/>
                <w:szCs w:val="32"/>
              </w:rPr>
              <w:t>3（0起，</w:t>
            </w:r>
            <w:r>
              <w:rPr>
                <w:rFonts w:hint="eastAsia" w:ascii="仿宋" w:hAnsi="仿宋" w:eastAsia="仿宋" w:cs="仿宋"/>
                <w:spacing w:val="4"/>
                <w:sz w:val="32"/>
                <w:szCs w:val="32"/>
              </w:rPr>
              <w:t>加分上限</w:t>
            </w:r>
            <w:r>
              <w:rPr>
                <w:rFonts w:hint="eastAsia" w:ascii="仿宋" w:hAnsi="仿宋" w:eastAsia="仿宋" w:cs="仿宋"/>
                <w:spacing w:val="-23"/>
                <w:w w:val="98"/>
                <w:sz w:val="32"/>
                <w:szCs w:val="32"/>
              </w:rPr>
              <w:t>3分，扣分</w:t>
            </w:r>
            <w:r>
              <w:rPr>
                <w:rFonts w:hint="eastAsia" w:ascii="仿宋" w:hAnsi="仿宋" w:eastAsia="仿宋" w:cs="仿宋"/>
                <w:spacing w:val="-8"/>
                <w:sz w:val="32"/>
                <w:szCs w:val="32"/>
              </w:rPr>
              <w:t>无下限）</w:t>
            </w:r>
          </w:p>
        </w:tc>
        <w:tc>
          <w:tcPr>
            <w:tcW w:w="734" w:type="dxa"/>
            <w:gridSpan w:val="3"/>
            <w:vAlign w:val="top"/>
          </w:tcPr>
          <w:p w14:paraId="73AD75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4034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13" w:type="dxa"/>
            <w:gridSpan w:val="3"/>
            <w:vMerge w:val="restart"/>
            <w:tcBorders>
              <w:bottom w:val="nil"/>
            </w:tcBorders>
            <w:vAlign w:val="top"/>
          </w:tcPr>
          <w:p w14:paraId="647DD00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560" w:lineRule="exact"/>
              <w:ind w:right="135" w:firstLine="330" w:firstLineChars="100"/>
              <w:jc w:val="both"/>
              <w:textAlignment w:val="baseline"/>
              <w:rPr>
                <w:rFonts w:hint="eastAsia" w:ascii="仿宋" w:hAnsi="仿宋" w:eastAsia="仿宋" w:cs="仿宋"/>
                <w:spacing w:val="5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  <w:lang w:val="en-US" w:eastAsia="zh-CN"/>
              </w:rPr>
              <w:t xml:space="preserve"> </w:t>
            </w:r>
          </w:p>
          <w:p w14:paraId="463D5F7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560" w:lineRule="exact"/>
              <w:ind w:right="135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>遵纪守</w:t>
            </w:r>
            <w:r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  <w:t>法</w:t>
            </w:r>
          </w:p>
        </w:tc>
        <w:tc>
          <w:tcPr>
            <w:tcW w:w="3082" w:type="dxa"/>
            <w:vMerge w:val="restart"/>
            <w:tcBorders>
              <w:bottom w:val="nil"/>
            </w:tcBorders>
            <w:vAlign w:val="top"/>
          </w:tcPr>
          <w:p w14:paraId="0B6409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9331FB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560" w:lineRule="exact"/>
              <w:ind w:left="111" w:right="96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  <w:t>增强法治观念，遵守宪法、法律、法规，遵守公民道德规范，遵守学校管理制度，具有良好</w:t>
            </w:r>
            <w:r>
              <w:rPr>
                <w:rFonts w:hint="eastAsia" w:ascii="仿宋" w:hAnsi="仿宋" w:eastAsia="仿宋" w:cs="仿宋"/>
                <w:spacing w:val="4"/>
                <w:sz w:val="32"/>
                <w:szCs w:val="32"/>
              </w:rPr>
              <w:t>的道德品质和行为习惯，自觉维护公共秩序，</w:t>
            </w: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</w:rPr>
              <w:t>服从管理，勇于同各种违纪现象作斗争。</w:t>
            </w:r>
          </w:p>
        </w:tc>
        <w:tc>
          <w:tcPr>
            <w:tcW w:w="3466" w:type="dxa"/>
            <w:gridSpan w:val="3"/>
            <w:vAlign w:val="top"/>
          </w:tcPr>
          <w:p w14:paraId="08F3223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560" w:lineRule="exact"/>
              <w:ind w:left="112" w:right="104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0"/>
                <w:sz w:val="32"/>
                <w:szCs w:val="32"/>
              </w:rPr>
              <w:t>认真学习和遵守各项法律法规与学校的各项规章制度；接受各级管理人员的管理；能进行批评和</w:t>
            </w:r>
            <w:r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  <w:t>自我批评。</w:t>
            </w:r>
          </w:p>
        </w:tc>
        <w:tc>
          <w:tcPr>
            <w:tcW w:w="982" w:type="dxa"/>
            <w:vAlign w:val="top"/>
          </w:tcPr>
          <w:p w14:paraId="1CC72A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9F14E8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560" w:lineRule="exact"/>
              <w:ind w:left="123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16</w:t>
            </w:r>
          </w:p>
        </w:tc>
        <w:tc>
          <w:tcPr>
            <w:tcW w:w="734" w:type="dxa"/>
            <w:gridSpan w:val="3"/>
            <w:vAlign w:val="top"/>
          </w:tcPr>
          <w:p w14:paraId="4F948D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C560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7" w:hRule="atLeast"/>
        </w:trPr>
        <w:tc>
          <w:tcPr>
            <w:tcW w:w="413" w:type="dxa"/>
            <w:gridSpan w:val="3"/>
            <w:vMerge w:val="continue"/>
            <w:tcBorders>
              <w:top w:val="nil"/>
            </w:tcBorders>
            <w:textDirection w:val="tbRlV"/>
            <w:vAlign w:val="top"/>
          </w:tcPr>
          <w:p w14:paraId="11C46D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082" w:type="dxa"/>
            <w:vMerge w:val="continue"/>
            <w:tcBorders>
              <w:top w:val="nil"/>
            </w:tcBorders>
            <w:vAlign w:val="top"/>
          </w:tcPr>
          <w:p w14:paraId="55D8FD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66" w:type="dxa"/>
            <w:gridSpan w:val="3"/>
            <w:vAlign w:val="top"/>
          </w:tcPr>
          <w:p w14:paraId="7FC8AD2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560" w:lineRule="exact"/>
              <w:ind w:left="115" w:right="104" w:hanging="2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0"/>
                <w:sz w:val="32"/>
                <w:szCs w:val="32"/>
              </w:rPr>
              <w:t>测评学年内受留校察看、记过、严重警告、警告</w:t>
            </w:r>
            <w:r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  <w:t>处分，分别扣10、8、5、3分，受学院通报批评</w:t>
            </w: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扣1分。</w:t>
            </w:r>
          </w:p>
        </w:tc>
        <w:tc>
          <w:tcPr>
            <w:tcW w:w="982" w:type="dxa"/>
            <w:vAlign w:val="top"/>
          </w:tcPr>
          <w:p w14:paraId="1703721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560" w:lineRule="exact"/>
              <w:ind w:left="115" w:right="151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3（3起，</w:t>
            </w:r>
            <w:r>
              <w:rPr>
                <w:rFonts w:hint="eastAsia" w:ascii="仿宋" w:hAnsi="仿宋" w:eastAsia="仿宋" w:cs="仿宋"/>
                <w:spacing w:val="11"/>
                <w:sz w:val="32"/>
                <w:szCs w:val="32"/>
              </w:rPr>
              <w:t>扣分制，</w:t>
            </w: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>无下限）</w:t>
            </w:r>
          </w:p>
        </w:tc>
        <w:tc>
          <w:tcPr>
            <w:tcW w:w="734" w:type="dxa"/>
            <w:gridSpan w:val="3"/>
            <w:vAlign w:val="top"/>
          </w:tcPr>
          <w:p w14:paraId="48056D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8986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413" w:type="dxa"/>
            <w:gridSpan w:val="3"/>
            <w:vAlign w:val="top"/>
          </w:tcPr>
          <w:p w14:paraId="26022AD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560" w:lineRule="exact"/>
              <w:ind w:left="92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  <w:t>学习态</w:t>
            </w:r>
          </w:p>
        </w:tc>
        <w:tc>
          <w:tcPr>
            <w:tcW w:w="3082" w:type="dxa"/>
            <w:vAlign w:val="top"/>
          </w:tcPr>
          <w:p w14:paraId="065605A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2" w:line="560" w:lineRule="exact"/>
              <w:ind w:left="110" w:right="106" w:firstLine="2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  <w:t>刻苦学习，勇于探索，积极实践，努力掌握现</w:t>
            </w: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</w:rPr>
              <w:t>代科学文化知识和专业技能。</w:t>
            </w:r>
          </w:p>
        </w:tc>
        <w:tc>
          <w:tcPr>
            <w:tcW w:w="3466" w:type="dxa"/>
            <w:gridSpan w:val="3"/>
            <w:vAlign w:val="top"/>
          </w:tcPr>
          <w:p w14:paraId="7696503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line="560" w:lineRule="exact"/>
              <w:ind w:left="112" w:right="104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0"/>
                <w:sz w:val="32"/>
                <w:szCs w:val="32"/>
              </w:rPr>
              <w:t>积极参加学校、学院组织的各类学术活动、学术</w:t>
            </w: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</w:rPr>
              <w:t>讲座，按时上课，参加早晚自习。</w:t>
            </w:r>
          </w:p>
        </w:tc>
        <w:tc>
          <w:tcPr>
            <w:tcW w:w="982" w:type="dxa"/>
            <w:vAlign w:val="top"/>
          </w:tcPr>
          <w:p w14:paraId="17A422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C74D3F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560" w:lineRule="exact"/>
              <w:ind w:left="123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16</w:t>
            </w:r>
          </w:p>
        </w:tc>
        <w:tc>
          <w:tcPr>
            <w:tcW w:w="734" w:type="dxa"/>
            <w:gridSpan w:val="3"/>
            <w:vAlign w:val="top"/>
          </w:tcPr>
          <w:p w14:paraId="7B2B7D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A911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" w:type="dxa"/>
          <w:wAfter w:w="77" w:type="dxa"/>
          <w:trHeight w:val="2518" w:hRule="atLeast"/>
        </w:trPr>
        <w:tc>
          <w:tcPr>
            <w:tcW w:w="409" w:type="dxa"/>
            <w:vAlign w:val="top"/>
          </w:tcPr>
          <w:p w14:paraId="2212830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560" w:lineRule="exact"/>
              <w:ind w:left="114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2"/>
                <w:sz w:val="32"/>
                <w:szCs w:val="32"/>
              </w:rPr>
              <w:t>度</w:t>
            </w:r>
          </w:p>
        </w:tc>
        <w:tc>
          <w:tcPr>
            <w:tcW w:w="3111" w:type="dxa"/>
            <w:gridSpan w:val="3"/>
            <w:vAlign w:val="top"/>
          </w:tcPr>
          <w:p w14:paraId="58E3F1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25" w:type="dxa"/>
            <w:vAlign w:val="top"/>
          </w:tcPr>
          <w:p w14:paraId="7D0F0BB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560" w:lineRule="exact"/>
              <w:ind w:left="112" w:right="104" w:firstLine="1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</w:rPr>
              <w:t>无正当理由缺席学术活动或讲座的每次扣0.1分；有上课迟到早退，或不遵守课堂纪律的每次扣0.2分；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有旷课或故意扰乱课堂秩序的每次扣0.5分。（以</w:t>
            </w:r>
            <w:r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  <w:t>上均含早晚自习）</w:t>
            </w:r>
          </w:p>
        </w:tc>
        <w:tc>
          <w:tcPr>
            <w:tcW w:w="1015" w:type="dxa"/>
            <w:gridSpan w:val="3"/>
            <w:vAlign w:val="top"/>
          </w:tcPr>
          <w:p w14:paraId="4CCECA5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560" w:lineRule="exact"/>
              <w:ind w:left="114" w:right="104" w:firstLine="2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>3（0起，</w:t>
            </w:r>
            <w:r>
              <w:rPr>
                <w:rFonts w:hint="eastAsia" w:ascii="仿宋" w:hAnsi="仿宋" w:eastAsia="仿宋" w:cs="仿宋"/>
                <w:spacing w:val="23"/>
                <w:sz w:val="32"/>
                <w:szCs w:val="32"/>
              </w:rPr>
              <w:t>加分上限</w:t>
            </w:r>
            <w:r>
              <w:rPr>
                <w:rFonts w:hint="eastAsia" w:ascii="仿宋" w:hAnsi="仿宋" w:eastAsia="仿宋" w:cs="仿宋"/>
                <w:spacing w:val="-13"/>
                <w:sz w:val="32"/>
                <w:szCs w:val="32"/>
              </w:rPr>
              <w:t>3分，扣分</w:t>
            </w: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>无下限）</w:t>
            </w:r>
          </w:p>
        </w:tc>
        <w:tc>
          <w:tcPr>
            <w:tcW w:w="638" w:type="dxa"/>
            <w:vAlign w:val="top"/>
          </w:tcPr>
          <w:p w14:paraId="37C013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60AF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" w:type="dxa"/>
          <w:wAfter w:w="77" w:type="dxa"/>
          <w:trHeight w:val="1057" w:hRule="atLeast"/>
        </w:trPr>
        <w:tc>
          <w:tcPr>
            <w:tcW w:w="409" w:type="dxa"/>
            <w:vMerge w:val="restart"/>
            <w:tcBorders>
              <w:bottom w:val="nil"/>
            </w:tcBorders>
            <w:vAlign w:val="top"/>
          </w:tcPr>
          <w:p w14:paraId="0A728CC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560" w:lineRule="exact"/>
              <w:jc w:val="both"/>
              <w:textAlignment w:val="baseline"/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</w:pPr>
          </w:p>
          <w:p w14:paraId="668A0B5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560" w:lineRule="exact"/>
              <w:jc w:val="both"/>
              <w:textAlignment w:val="baseline"/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</w:pPr>
          </w:p>
          <w:p w14:paraId="22C77C4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  <w:t>身</w:t>
            </w: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>心健康</w:t>
            </w:r>
          </w:p>
        </w:tc>
        <w:tc>
          <w:tcPr>
            <w:tcW w:w="3111" w:type="dxa"/>
            <w:gridSpan w:val="3"/>
            <w:vMerge w:val="restart"/>
            <w:tcBorders>
              <w:bottom w:val="nil"/>
            </w:tcBorders>
            <w:vAlign w:val="top"/>
          </w:tcPr>
          <w:p w14:paraId="624B23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71FDE6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560" w:lineRule="exact"/>
              <w:ind w:left="111" w:right="52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</w:rPr>
              <w:t>积极锻炼身体，增进身心健康，提高个人修养，</w:t>
            </w:r>
            <w:r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  <w:t>培养审美情趣。</w:t>
            </w:r>
          </w:p>
        </w:tc>
        <w:tc>
          <w:tcPr>
            <w:tcW w:w="3425" w:type="dxa"/>
            <w:vAlign w:val="top"/>
          </w:tcPr>
          <w:p w14:paraId="2F00AB6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560" w:lineRule="exact"/>
              <w:ind w:left="112" w:right="152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</w:rPr>
              <w:t>积极参加校内外各项体育活动、心理健康活动，有自己的兴趣爱好和较高的审美情趣。</w:t>
            </w:r>
          </w:p>
        </w:tc>
        <w:tc>
          <w:tcPr>
            <w:tcW w:w="1015" w:type="dxa"/>
            <w:gridSpan w:val="3"/>
            <w:vAlign w:val="top"/>
          </w:tcPr>
          <w:p w14:paraId="644B2F8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2" w:line="560" w:lineRule="exact"/>
              <w:ind w:left="123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16</w:t>
            </w:r>
          </w:p>
        </w:tc>
        <w:tc>
          <w:tcPr>
            <w:tcW w:w="638" w:type="dxa"/>
            <w:vAlign w:val="top"/>
          </w:tcPr>
          <w:p w14:paraId="6150B3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49CF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" w:type="dxa"/>
          <w:wAfter w:w="77" w:type="dxa"/>
          <w:trHeight w:val="2832" w:hRule="atLeast"/>
        </w:trPr>
        <w:tc>
          <w:tcPr>
            <w:tcW w:w="409" w:type="dxa"/>
            <w:vMerge w:val="continue"/>
            <w:tcBorders>
              <w:top w:val="nil"/>
            </w:tcBorders>
            <w:textDirection w:val="tbRlV"/>
            <w:vAlign w:val="top"/>
          </w:tcPr>
          <w:p w14:paraId="2027EB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1" w:type="dxa"/>
            <w:gridSpan w:val="3"/>
            <w:vMerge w:val="continue"/>
            <w:tcBorders>
              <w:top w:val="nil"/>
            </w:tcBorders>
            <w:vAlign w:val="top"/>
          </w:tcPr>
          <w:p w14:paraId="3565A9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3425" w:type="dxa"/>
            <w:vAlign w:val="top"/>
          </w:tcPr>
          <w:p w14:paraId="3CAAFB9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560" w:lineRule="exact"/>
              <w:ind w:left="110" w:right="104" w:firstLine="2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0"/>
                <w:sz w:val="32"/>
                <w:szCs w:val="32"/>
                <w:highlight w:val="none"/>
                <w:shd w:val="clear" w:color="auto" w:fill="auto"/>
                <w:lang w:eastAsia="zh-CN"/>
              </w:rPr>
              <w:t>测评学年内不归者、使用违章电器者、吸烟者被西太湖</w:t>
            </w:r>
            <w:r>
              <w:rPr>
                <w:rFonts w:hint="eastAsia" w:ascii="仿宋" w:hAnsi="仿宋" w:eastAsia="仿宋" w:cs="仿宋"/>
                <w:spacing w:val="1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校区</w:t>
            </w:r>
            <w:r>
              <w:rPr>
                <w:rFonts w:hint="eastAsia" w:ascii="仿宋" w:hAnsi="仿宋" w:eastAsia="仿宋" w:cs="仿宋"/>
                <w:spacing w:val="10"/>
                <w:sz w:val="32"/>
                <w:szCs w:val="32"/>
                <w:highlight w:val="none"/>
                <w:shd w:val="clear" w:color="auto" w:fill="auto"/>
                <w:lang w:eastAsia="zh-CN"/>
              </w:rPr>
              <w:t>管委会</w:t>
            </w:r>
            <w:r>
              <w:rPr>
                <w:rFonts w:hint="eastAsia" w:ascii="仿宋" w:hAnsi="仿宋" w:eastAsia="仿宋" w:cs="仿宋"/>
                <w:spacing w:val="1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数据采集到的</w:t>
            </w:r>
            <w:r>
              <w:rPr>
                <w:rFonts w:hint="eastAsia" w:ascii="仿宋" w:hAnsi="仿宋" w:eastAsia="仿宋" w:cs="仿宋"/>
                <w:spacing w:val="10"/>
                <w:sz w:val="32"/>
                <w:szCs w:val="32"/>
                <w:highlight w:val="none"/>
                <w:shd w:val="clear" w:color="auto" w:fill="auto"/>
                <w:lang w:eastAsia="zh-CN"/>
              </w:rPr>
              <w:t>，一次扣除</w:t>
            </w:r>
            <w:r>
              <w:rPr>
                <w:rFonts w:hint="eastAsia" w:ascii="仿宋" w:hAnsi="仿宋" w:eastAsia="仿宋" w:cs="仿宋"/>
                <w:spacing w:val="1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0.5分，以相关部门检查结果为考核依据。若造成严重后果的则取消参评资格。</w:t>
            </w:r>
            <w:r>
              <w:rPr>
                <w:rFonts w:hint="eastAsia" w:ascii="仿宋" w:hAnsi="仿宋" w:eastAsia="仿宋" w:cs="仿宋"/>
                <w:spacing w:val="10"/>
                <w:sz w:val="32"/>
                <w:szCs w:val="32"/>
                <w:highlight w:val="none"/>
                <w:shd w:val="clear" w:color="auto" w:fill="auto"/>
              </w:rPr>
              <w:t>有不健康的行为习惯且屡教不改者（</w:t>
            </w:r>
            <w:r>
              <w:rPr>
                <w:rFonts w:hint="eastAsia" w:ascii="仿宋" w:hAnsi="仿宋" w:eastAsia="仿宋" w:cs="仿宋"/>
                <w:spacing w:val="1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如</w:t>
            </w:r>
            <w:r>
              <w:rPr>
                <w:rFonts w:hint="eastAsia" w:ascii="仿宋" w:hAnsi="仿宋" w:eastAsia="仿宋" w:cs="仿宋"/>
                <w:spacing w:val="10"/>
                <w:sz w:val="32"/>
                <w:szCs w:val="32"/>
                <w:highlight w:val="none"/>
                <w:shd w:val="clear" w:color="auto" w:fill="auto"/>
              </w:rPr>
              <w:t>异性间行为密切、沉溺于</w:t>
            </w:r>
            <w:r>
              <w:rPr>
                <w:rFonts w:hint="eastAsia" w:ascii="仿宋" w:hAnsi="仿宋" w:eastAsia="仿宋" w:cs="仿宋"/>
                <w:spacing w:val="10"/>
                <w:sz w:val="32"/>
                <w:szCs w:val="32"/>
                <w:highlight w:val="none"/>
              </w:rPr>
              <w:t>电脑游戏等）酌</w:t>
            </w:r>
            <w:r>
              <w:rPr>
                <w:rFonts w:hint="eastAsia" w:ascii="仿宋" w:hAnsi="仿宋" w:eastAsia="仿宋" w:cs="仿宋"/>
                <w:spacing w:val="-7"/>
                <w:sz w:val="32"/>
                <w:szCs w:val="32"/>
                <w:highlight w:val="none"/>
              </w:rPr>
              <w:t>情扣0.5-2分。</w:t>
            </w:r>
          </w:p>
        </w:tc>
        <w:tc>
          <w:tcPr>
            <w:tcW w:w="1015" w:type="dxa"/>
            <w:gridSpan w:val="3"/>
            <w:vAlign w:val="top"/>
          </w:tcPr>
          <w:p w14:paraId="60EFDB8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560" w:lineRule="exact"/>
              <w:ind w:left="116" w:right="151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3（3起，</w:t>
            </w:r>
            <w:r>
              <w:rPr>
                <w:rFonts w:hint="eastAsia" w:ascii="仿宋" w:hAnsi="仿宋" w:eastAsia="仿宋" w:cs="仿宋"/>
                <w:spacing w:val="4"/>
                <w:sz w:val="32"/>
                <w:szCs w:val="32"/>
              </w:rPr>
              <w:t>扣分制）</w:t>
            </w:r>
          </w:p>
        </w:tc>
        <w:tc>
          <w:tcPr>
            <w:tcW w:w="638" w:type="dxa"/>
            <w:vAlign w:val="top"/>
          </w:tcPr>
          <w:p w14:paraId="7F3723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DBAD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" w:type="dxa"/>
          <w:wAfter w:w="77" w:type="dxa"/>
          <w:trHeight w:val="1924" w:hRule="atLeast"/>
        </w:trPr>
        <w:tc>
          <w:tcPr>
            <w:tcW w:w="409" w:type="dxa"/>
            <w:vAlign w:val="top"/>
          </w:tcPr>
          <w:p w14:paraId="22E9DD6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560" w:lineRule="exact"/>
              <w:ind w:right="135"/>
              <w:jc w:val="both"/>
              <w:textAlignment w:val="baseline"/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>其他加分</w:t>
            </w:r>
          </w:p>
        </w:tc>
        <w:tc>
          <w:tcPr>
            <w:tcW w:w="3111" w:type="dxa"/>
            <w:gridSpan w:val="3"/>
            <w:vAlign w:val="top"/>
          </w:tcPr>
          <w:p w14:paraId="0D335C8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560" w:lineRule="exact"/>
              <w:ind w:right="135" w:firstLine="330" w:firstLineChars="100"/>
              <w:jc w:val="both"/>
              <w:textAlignment w:val="baseline"/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</w:pPr>
          </w:p>
          <w:p w14:paraId="3AAB705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560" w:lineRule="exact"/>
              <w:ind w:right="135"/>
              <w:jc w:val="both"/>
              <w:textAlignment w:val="baseline"/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>学生在</w:t>
            </w: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  <w:lang w:val="en-US" w:eastAsia="zh-CN"/>
              </w:rPr>
              <w:t>德育</w:t>
            </w: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>其他方面受到表彰、奖励等</w:t>
            </w:r>
          </w:p>
        </w:tc>
        <w:tc>
          <w:tcPr>
            <w:tcW w:w="3425" w:type="dxa"/>
            <w:vAlign w:val="top"/>
          </w:tcPr>
          <w:p w14:paraId="046AE0B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560" w:lineRule="exact"/>
              <w:ind w:left="114" w:right="104" w:hanging="2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  <w:t>个人受校级表彰加1分，受市级表彰加1.5分，</w:t>
            </w:r>
            <w:r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  <w:t>受省级表彰加3分，受国家级表彰加5分；集体</w:t>
            </w:r>
            <w:r>
              <w:rPr>
                <w:rFonts w:hint="eastAsia" w:ascii="仿宋" w:hAnsi="仿宋" w:eastAsia="仿宋" w:cs="仿宋"/>
                <w:spacing w:val="10"/>
                <w:sz w:val="32"/>
                <w:szCs w:val="32"/>
              </w:rPr>
              <w:t>受表彰，每个成员由学院根据具体情况，酌情加</w:t>
            </w: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</w:rPr>
              <w:t>分。</w:t>
            </w:r>
          </w:p>
        </w:tc>
        <w:tc>
          <w:tcPr>
            <w:tcW w:w="1015" w:type="dxa"/>
            <w:gridSpan w:val="3"/>
            <w:vAlign w:val="top"/>
          </w:tcPr>
          <w:p w14:paraId="02E729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DE174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5D35F20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560" w:lineRule="exact"/>
              <w:ind w:left="116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638" w:type="dxa"/>
            <w:vAlign w:val="top"/>
          </w:tcPr>
          <w:p w14:paraId="403190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7A0B01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"/>
          <w:position w:val="1"/>
          <w:sz w:val="32"/>
          <w:szCs w:val="32"/>
        </w:rPr>
        <w:t>注：实际计算可使用此表格的</w:t>
      </w:r>
      <w:r>
        <w:rPr>
          <w:rFonts w:hint="eastAsia" w:ascii="仿宋" w:hAnsi="仿宋" w:eastAsia="仿宋" w:cs="仿宋"/>
          <w:position w:val="1"/>
          <w:sz w:val="32"/>
          <w:szCs w:val="32"/>
        </w:rPr>
        <w:t>excel</w:t>
      </w:r>
      <w:r>
        <w:rPr>
          <w:rFonts w:hint="eastAsia" w:ascii="仿宋" w:hAnsi="仿宋" w:eastAsia="仿宋" w:cs="仿宋"/>
          <w:spacing w:val="2"/>
          <w:position w:val="1"/>
          <w:sz w:val="32"/>
          <w:szCs w:val="32"/>
        </w:rPr>
        <w:t>版。</w:t>
      </w:r>
    </w:p>
    <w:p w14:paraId="7BF8D9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0D99C4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7EA459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6BEDEA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66D658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6B7411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7B7D2C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23A7EC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11C286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6258D9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0DF833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1AB630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6CB883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3F5CBE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6146B35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60" w:lineRule="exact"/>
        <w:ind w:left="41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附表2：</w:t>
      </w:r>
    </w:p>
    <w:p w14:paraId="231FC85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1" w:line="560" w:lineRule="exact"/>
        <w:ind w:left="1081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7"/>
          <w:sz w:val="32"/>
          <w:szCs w:val="32"/>
        </w:rPr>
        <w:t>常州大学商学院学生单项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pacing w:val="7"/>
          <w:sz w:val="32"/>
          <w:szCs w:val="32"/>
        </w:rPr>
        <w:t>奖学金评比办法</w:t>
      </w:r>
    </w:p>
    <w:p w14:paraId="1F997B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8"/>
        <w:tblW w:w="81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1"/>
        <w:gridCol w:w="5828"/>
      </w:tblGrid>
      <w:tr w14:paraId="6830D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2331" w:type="dxa"/>
            <w:vAlign w:val="top"/>
          </w:tcPr>
          <w:p w14:paraId="1246C07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类别</w:t>
            </w:r>
          </w:p>
        </w:tc>
        <w:tc>
          <w:tcPr>
            <w:tcW w:w="5828" w:type="dxa"/>
            <w:vAlign w:val="top"/>
          </w:tcPr>
          <w:p w14:paraId="66A608E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sz w:val="32"/>
                <w:szCs w:val="32"/>
              </w:rPr>
              <w:t>评比标准</w:t>
            </w:r>
          </w:p>
        </w:tc>
      </w:tr>
      <w:tr w14:paraId="6FBAF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  <w:jc w:val="center"/>
        </w:trPr>
        <w:tc>
          <w:tcPr>
            <w:tcW w:w="2331" w:type="dxa"/>
            <w:vAlign w:val="top"/>
          </w:tcPr>
          <w:p w14:paraId="60EB19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ED4C4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678294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560" w:lineRule="exact"/>
              <w:ind w:right="363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  <w:t>道德先进</w:t>
            </w:r>
            <w:r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  <w:t>单项奖</w:t>
            </w:r>
          </w:p>
        </w:tc>
        <w:tc>
          <w:tcPr>
            <w:tcW w:w="5828" w:type="dxa"/>
            <w:vAlign w:val="top"/>
          </w:tcPr>
          <w:p w14:paraId="70EBC12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560" w:lineRule="exact"/>
              <w:ind w:left="112" w:right="107" w:firstLine="14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0"/>
                <w:sz w:val="32"/>
                <w:szCs w:val="32"/>
              </w:rPr>
              <w:t>1．因见义勇为等好人好事被校级以上（不含</w:t>
            </w:r>
            <w:r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  <w:t>校级，下同）表彰或市级以上媒体报道，且智育成绩列专业年级前50%；</w:t>
            </w:r>
          </w:p>
          <w:p w14:paraId="671016C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560" w:lineRule="exact"/>
              <w:ind w:left="112" w:right="107" w:firstLine="1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1"/>
                <w:sz w:val="32"/>
                <w:szCs w:val="32"/>
              </w:rPr>
              <w:t>2．获校级以上优秀党员、优秀团干部等称号</w:t>
            </w:r>
            <w:r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  <w:t>并在校风建设中表现突出，且智育成绩列专业</w:t>
            </w: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</w:rPr>
              <w:t>年级前50%。</w:t>
            </w:r>
          </w:p>
        </w:tc>
      </w:tr>
      <w:tr w14:paraId="6ADE5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  <w:jc w:val="center"/>
        </w:trPr>
        <w:tc>
          <w:tcPr>
            <w:tcW w:w="2331" w:type="dxa"/>
            <w:vAlign w:val="top"/>
          </w:tcPr>
          <w:p w14:paraId="7337D2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967D38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560" w:lineRule="exact"/>
              <w:ind w:right="363"/>
              <w:jc w:val="both"/>
              <w:textAlignment w:val="baseline"/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</w:pPr>
          </w:p>
          <w:p w14:paraId="714E00D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560" w:lineRule="exact"/>
              <w:ind w:right="363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  <w:t>学业优秀单项奖</w:t>
            </w:r>
          </w:p>
        </w:tc>
        <w:tc>
          <w:tcPr>
            <w:tcW w:w="5828" w:type="dxa"/>
            <w:vAlign w:val="top"/>
          </w:tcPr>
          <w:p w14:paraId="058C16F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560" w:lineRule="exact"/>
              <w:ind w:left="112" w:right="109" w:firstLine="15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1"/>
                <w:sz w:val="32"/>
                <w:szCs w:val="32"/>
              </w:rPr>
              <w:t>1．智育成绩列本专业年级前30%，且未获得</w:t>
            </w: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>三等（含三等）以上奖学金者；</w:t>
            </w:r>
          </w:p>
          <w:p w14:paraId="1868993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560" w:lineRule="exact"/>
              <w:ind w:left="111" w:right="107" w:firstLine="3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1"/>
                <w:sz w:val="32"/>
                <w:szCs w:val="32"/>
              </w:rPr>
              <w:t>2．获得市级学习竞赛奖项，且智育成绩列专</w:t>
            </w:r>
            <w:r>
              <w:rPr>
                <w:rFonts w:hint="eastAsia" w:ascii="仿宋" w:hAnsi="仿宋" w:eastAsia="仿宋" w:cs="仿宋"/>
                <w:spacing w:val="4"/>
                <w:sz w:val="32"/>
                <w:szCs w:val="32"/>
              </w:rPr>
              <w:t>业年级前50%；</w:t>
            </w:r>
          </w:p>
          <w:p w14:paraId="1F655B7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560" w:lineRule="exact"/>
              <w:ind w:left="111" w:right="107" w:firstLine="5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1"/>
                <w:sz w:val="32"/>
                <w:szCs w:val="32"/>
              </w:rPr>
              <w:t>3．获得省级学习竞赛奖项，且智育成绩列专</w:t>
            </w:r>
            <w:r>
              <w:rPr>
                <w:rFonts w:hint="eastAsia" w:ascii="仿宋" w:hAnsi="仿宋" w:eastAsia="仿宋" w:cs="仿宋"/>
                <w:spacing w:val="4"/>
                <w:sz w:val="32"/>
                <w:szCs w:val="32"/>
              </w:rPr>
              <w:t>业年级前70%。</w:t>
            </w:r>
          </w:p>
        </w:tc>
      </w:tr>
      <w:tr w14:paraId="73F88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9" w:hRule="atLeast"/>
          <w:jc w:val="center"/>
        </w:trPr>
        <w:tc>
          <w:tcPr>
            <w:tcW w:w="2331" w:type="dxa"/>
            <w:vAlign w:val="top"/>
          </w:tcPr>
          <w:p w14:paraId="1E8AC3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53FAE2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5639B5D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560" w:lineRule="exact"/>
              <w:ind w:right="154"/>
              <w:jc w:val="center"/>
              <w:textAlignment w:val="baseline"/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</w:pPr>
          </w:p>
          <w:p w14:paraId="6612A6B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560" w:lineRule="exact"/>
              <w:ind w:right="154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  <w:t>文化艺术活动</w:t>
            </w:r>
            <w:r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  <w:t>单项奖</w:t>
            </w:r>
          </w:p>
        </w:tc>
        <w:tc>
          <w:tcPr>
            <w:tcW w:w="5828" w:type="dxa"/>
            <w:vAlign w:val="top"/>
          </w:tcPr>
          <w:p w14:paraId="017FA6F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560" w:lineRule="exact"/>
              <w:ind w:left="116" w:right="107" w:firstLine="11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0"/>
                <w:sz w:val="32"/>
                <w:szCs w:val="32"/>
              </w:rPr>
              <w:t>1．获得市级文化艺术活动奖项，且智育成绩</w:t>
            </w:r>
            <w:r>
              <w:rPr>
                <w:rFonts w:hint="eastAsia" w:ascii="仿宋" w:hAnsi="仿宋" w:eastAsia="仿宋" w:cs="仿宋"/>
                <w:spacing w:val="4"/>
                <w:sz w:val="32"/>
                <w:szCs w:val="32"/>
              </w:rPr>
              <w:t>列专业年级前50%；</w:t>
            </w:r>
          </w:p>
          <w:p w14:paraId="206BD95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560" w:lineRule="exact"/>
              <w:ind w:left="115" w:right="107" w:hanging="1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1"/>
                <w:sz w:val="32"/>
                <w:szCs w:val="32"/>
              </w:rPr>
              <w:t>2．获得省级文化艺术活动奖项，且智育成绩</w:t>
            </w: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>列专业年级前60%；</w:t>
            </w:r>
          </w:p>
          <w:p w14:paraId="74FED64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560" w:lineRule="exact"/>
              <w:ind w:left="116" w:right="107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9"/>
                <w:sz w:val="32"/>
                <w:szCs w:val="32"/>
              </w:rPr>
              <w:t>3．在校报上发表除简讯、消息外的文章5篇</w:t>
            </w:r>
            <w:r>
              <w:rPr>
                <w:rFonts w:hint="eastAsia" w:ascii="仿宋" w:hAnsi="仿宋" w:eastAsia="仿宋" w:cs="仿宋"/>
                <w:spacing w:val="4"/>
                <w:sz w:val="32"/>
                <w:szCs w:val="32"/>
              </w:rPr>
              <w:t>以上或在市级以上报刊发表2篇以上文章、且</w:t>
            </w:r>
            <w:r>
              <w:rPr>
                <w:rFonts w:hint="eastAsia" w:ascii="仿宋" w:hAnsi="仿宋" w:eastAsia="仿宋" w:cs="仿宋"/>
                <w:spacing w:val="10"/>
                <w:sz w:val="32"/>
                <w:szCs w:val="32"/>
              </w:rPr>
              <w:t>智育成绩列本专业年级前40%。</w:t>
            </w:r>
          </w:p>
        </w:tc>
      </w:tr>
      <w:tr w14:paraId="06D00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  <w:jc w:val="center"/>
        </w:trPr>
        <w:tc>
          <w:tcPr>
            <w:tcW w:w="2331" w:type="dxa"/>
            <w:vAlign w:val="top"/>
          </w:tcPr>
          <w:p w14:paraId="1E14D0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CDD9A2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560" w:lineRule="exact"/>
              <w:ind w:right="363"/>
              <w:jc w:val="center"/>
              <w:textAlignment w:val="baseline"/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</w:pPr>
          </w:p>
          <w:p w14:paraId="1FB43A4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560" w:lineRule="exact"/>
              <w:ind w:right="363"/>
              <w:jc w:val="center"/>
              <w:textAlignment w:val="baseline"/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</w:pPr>
          </w:p>
          <w:p w14:paraId="5B6CC33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560" w:lineRule="exact"/>
              <w:ind w:right="363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  <w:t>科技发明</w:t>
            </w:r>
            <w:r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  <w:t>单项奖</w:t>
            </w:r>
          </w:p>
        </w:tc>
        <w:tc>
          <w:tcPr>
            <w:tcW w:w="5828" w:type="dxa"/>
            <w:vAlign w:val="top"/>
          </w:tcPr>
          <w:p w14:paraId="3A7633C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8" w:line="560" w:lineRule="exact"/>
              <w:ind w:left="113" w:right="107" w:firstLine="13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0"/>
                <w:sz w:val="32"/>
                <w:szCs w:val="32"/>
              </w:rPr>
              <w:t>1．获市级科技制作、发明竞赛奖项，且智育</w:t>
            </w:r>
            <w:r>
              <w:rPr>
                <w:rFonts w:hint="eastAsia" w:ascii="仿宋" w:hAnsi="仿宋" w:eastAsia="仿宋" w:cs="仿宋"/>
                <w:spacing w:val="12"/>
                <w:sz w:val="32"/>
                <w:szCs w:val="32"/>
              </w:rPr>
              <w:t>成绩列本专业年级前50%;</w:t>
            </w:r>
          </w:p>
          <w:p w14:paraId="4B990F3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560" w:lineRule="exact"/>
              <w:ind w:left="113" w:right="107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1"/>
                <w:sz w:val="32"/>
                <w:szCs w:val="32"/>
              </w:rPr>
              <w:t>2．获省级科技制作、发明竞赛奖项，且智育</w:t>
            </w:r>
            <w:r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  <w:t>成绩列本专业年级前70％。</w:t>
            </w:r>
          </w:p>
        </w:tc>
      </w:tr>
      <w:tr w14:paraId="5F18E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 w:hRule="atLeast"/>
          <w:jc w:val="center"/>
        </w:trPr>
        <w:tc>
          <w:tcPr>
            <w:tcW w:w="2331" w:type="dxa"/>
            <w:vAlign w:val="top"/>
          </w:tcPr>
          <w:p w14:paraId="3410DB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1BB07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2D1C18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560" w:lineRule="exact"/>
              <w:ind w:right="363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  <w:t>创新创业</w:t>
            </w:r>
            <w:r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  <w:t>单项奖</w:t>
            </w:r>
          </w:p>
        </w:tc>
        <w:tc>
          <w:tcPr>
            <w:tcW w:w="5828" w:type="dxa"/>
            <w:vAlign w:val="top"/>
          </w:tcPr>
          <w:p w14:paraId="0854742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560" w:lineRule="exact"/>
              <w:ind w:left="112" w:right="199" w:firstLine="15"/>
              <w:jc w:val="both"/>
              <w:textAlignment w:val="baseline"/>
              <w:outlineLvl w:val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32"/>
                <w:szCs w:val="32"/>
              </w:rPr>
              <w:t>1.</w:t>
            </w: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>获大学生科技创新等竞赛市级以上奖项，</w:t>
            </w:r>
            <w:r>
              <w:rPr>
                <w:rFonts w:hint="eastAsia" w:ascii="仿宋" w:hAnsi="仿宋" w:eastAsia="仿宋" w:cs="仿宋"/>
                <w:spacing w:val="11"/>
                <w:sz w:val="32"/>
                <w:szCs w:val="32"/>
              </w:rPr>
              <w:t>且智育成绩列本专业年级前70%;</w:t>
            </w:r>
          </w:p>
          <w:p w14:paraId="6664CCE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560" w:lineRule="exact"/>
              <w:ind w:left="111" w:right="109" w:firstLine="3"/>
              <w:jc w:val="both"/>
              <w:textAlignment w:val="baseline"/>
              <w:outlineLvl w:val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</w:rPr>
              <w:t>2.独立或作为主要负责人创建公司，或创业</w:t>
            </w:r>
            <w:r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  <w:t>项目在市级以上获得奖项，且智育成绩列本专</w:t>
            </w:r>
            <w:r>
              <w:rPr>
                <w:rFonts w:hint="eastAsia" w:ascii="仿宋" w:hAnsi="仿宋" w:eastAsia="仿宋" w:cs="仿宋"/>
                <w:spacing w:val="13"/>
                <w:sz w:val="32"/>
                <w:szCs w:val="32"/>
              </w:rPr>
              <w:t>业年级前50%;</w:t>
            </w:r>
          </w:p>
        </w:tc>
      </w:tr>
      <w:tr w14:paraId="1EDB5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  <w:jc w:val="center"/>
        </w:trPr>
        <w:tc>
          <w:tcPr>
            <w:tcW w:w="2331" w:type="dxa"/>
            <w:vAlign w:val="top"/>
          </w:tcPr>
          <w:p w14:paraId="616A899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560" w:lineRule="exact"/>
              <w:ind w:right="363"/>
              <w:jc w:val="center"/>
              <w:textAlignment w:val="baseline"/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</w:pPr>
          </w:p>
          <w:p w14:paraId="08B76A5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560" w:lineRule="exact"/>
              <w:ind w:right="363"/>
              <w:jc w:val="center"/>
              <w:textAlignment w:val="baseline"/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</w:pPr>
          </w:p>
          <w:p w14:paraId="7D955E5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560" w:lineRule="exact"/>
              <w:ind w:right="363"/>
              <w:jc w:val="center"/>
              <w:textAlignment w:val="baseline"/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  <w:t>体育优秀</w:t>
            </w:r>
            <w:r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  <w:t>单项奖</w:t>
            </w:r>
          </w:p>
        </w:tc>
        <w:tc>
          <w:tcPr>
            <w:tcW w:w="5828" w:type="dxa"/>
            <w:vAlign w:val="top"/>
          </w:tcPr>
          <w:p w14:paraId="2E9E5C5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560" w:lineRule="exact"/>
              <w:ind w:left="127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  <w:t>1．获省级以上比赛名次者；</w:t>
            </w:r>
          </w:p>
          <w:p w14:paraId="44D0A8D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14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  <w:t>2．获苏南分会、协作区比赛前8名；</w:t>
            </w:r>
          </w:p>
          <w:p w14:paraId="3D33427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560" w:lineRule="exact"/>
              <w:ind w:left="111" w:right="107" w:firstLine="5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9"/>
                <w:sz w:val="32"/>
                <w:szCs w:val="32"/>
              </w:rPr>
              <w:t>3．获常州市比赛前3名，且智育成绩列本专</w:t>
            </w:r>
            <w:r>
              <w:rPr>
                <w:rFonts w:hint="eastAsia" w:ascii="仿宋" w:hAnsi="仿宋" w:eastAsia="仿宋" w:cs="仿宋"/>
                <w:spacing w:val="13"/>
                <w:sz w:val="32"/>
                <w:szCs w:val="32"/>
              </w:rPr>
              <w:t>业年级前80%;</w:t>
            </w:r>
          </w:p>
          <w:p w14:paraId="1892404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560" w:lineRule="exact"/>
              <w:ind w:left="111" w:right="109" w:firstLine="3"/>
              <w:jc w:val="both"/>
              <w:textAlignment w:val="baseline"/>
              <w:outlineLvl w:val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9"/>
                <w:sz w:val="32"/>
                <w:szCs w:val="32"/>
              </w:rPr>
              <w:t>4．获常州市比赛前4-8名，且智育成绩列本</w:t>
            </w:r>
            <w:r>
              <w:rPr>
                <w:rFonts w:hint="eastAsia" w:ascii="仿宋" w:hAnsi="仿宋" w:eastAsia="仿宋" w:cs="仿宋"/>
                <w:spacing w:val="13"/>
                <w:sz w:val="32"/>
                <w:szCs w:val="32"/>
              </w:rPr>
              <w:t>专业年级前60%;</w:t>
            </w:r>
          </w:p>
          <w:p w14:paraId="342F664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560" w:lineRule="exact"/>
              <w:ind w:left="111" w:right="109" w:firstLine="3"/>
              <w:jc w:val="both"/>
              <w:textAlignment w:val="baseline"/>
              <w:outlineLvl w:val="0"/>
              <w:rPr>
                <w:rFonts w:hint="eastAsia" w:ascii="仿宋" w:hAnsi="仿宋" w:eastAsia="仿宋" w:cs="仿宋"/>
                <w:spacing w:val="9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9"/>
                <w:sz w:val="32"/>
                <w:szCs w:val="32"/>
              </w:rPr>
              <w:t>5．对于集体项目，获得常州市比赛前2名或</w:t>
            </w: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</w:rPr>
              <w:t>市级以上比赛名次的主力队员。</w:t>
            </w:r>
          </w:p>
        </w:tc>
      </w:tr>
    </w:tbl>
    <w:p w14:paraId="1169A7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2E4F992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8" w:line="560" w:lineRule="exact"/>
        <w:ind w:left="26" w:firstLine="418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注：1．单项奖评比与普通奖学金评比同步，如满足评比标准</w:t>
      </w:r>
      <w:r>
        <w:rPr>
          <w:rFonts w:hint="eastAsia" w:ascii="仿宋" w:hAnsi="仿宋" w:eastAsia="仿宋" w:cs="仿宋"/>
          <w:spacing w:val="5"/>
          <w:sz w:val="32"/>
          <w:szCs w:val="32"/>
        </w:rPr>
        <w:t>之一，由学生本人申请，学院审核，学校学生处核准后统一发放。</w:t>
      </w:r>
    </w:p>
    <w:p w14:paraId="1FBBFDC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" w:line="560" w:lineRule="exact"/>
        <w:ind w:left="28" w:right="71" w:firstLine="419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2．单项奖可兼得，但不能超过2项。获得三等以</w:t>
      </w:r>
      <w:r>
        <w:rPr>
          <w:rFonts w:hint="eastAsia" w:ascii="仿宋" w:hAnsi="仿宋" w:eastAsia="仿宋" w:cs="仿宋"/>
          <w:spacing w:val="4"/>
          <w:sz w:val="32"/>
          <w:szCs w:val="32"/>
        </w:rPr>
        <w:t>上奖学金的</w:t>
      </w:r>
      <w:r>
        <w:rPr>
          <w:rFonts w:hint="eastAsia" w:ascii="仿宋" w:hAnsi="仿宋" w:eastAsia="仿宋" w:cs="仿宋"/>
          <w:spacing w:val="9"/>
          <w:sz w:val="32"/>
          <w:szCs w:val="32"/>
        </w:rPr>
        <w:t>学生最多只能兼得一项。获单项奖人数比例控制在本专业年级的</w:t>
      </w:r>
      <w:r>
        <w:rPr>
          <w:rFonts w:hint="eastAsia" w:ascii="仿宋" w:hAnsi="仿宋" w:eastAsia="仿宋" w:cs="仿宋"/>
          <w:spacing w:val="4"/>
          <w:sz w:val="32"/>
          <w:szCs w:val="32"/>
        </w:rPr>
        <w:t>20％以内。</w:t>
      </w:r>
    </w:p>
    <w:p w14:paraId="314AE23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560" w:lineRule="exact"/>
        <w:ind w:left="447"/>
        <w:jc w:val="both"/>
        <w:textAlignment w:val="baseline"/>
        <w:rPr>
          <w:rFonts w:hint="eastAsia" w:ascii="仿宋" w:hAnsi="仿宋" w:eastAsia="仿宋" w:cs="仿宋"/>
          <w:spacing w:val="9"/>
          <w:position w:val="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9"/>
          <w:position w:val="1"/>
          <w:sz w:val="32"/>
          <w:szCs w:val="32"/>
        </w:rPr>
        <w:t>3．单项奖每项200元/年</w:t>
      </w:r>
      <w:r>
        <w:rPr>
          <w:rFonts w:hint="eastAsia" w:ascii="仿宋" w:hAnsi="仿宋" w:eastAsia="仿宋" w:cs="仿宋"/>
          <w:spacing w:val="9"/>
          <w:position w:val="1"/>
          <w:sz w:val="32"/>
          <w:szCs w:val="32"/>
          <w:lang w:eastAsia="zh-CN"/>
        </w:rPr>
        <w:t>。</w:t>
      </w:r>
    </w:p>
    <w:p w14:paraId="6377AB4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560" w:lineRule="exact"/>
        <w:ind w:left="447"/>
        <w:jc w:val="right"/>
        <w:textAlignment w:val="baseline"/>
        <w:rPr>
          <w:rFonts w:hint="eastAsia" w:ascii="仿宋" w:hAnsi="仿宋" w:eastAsia="仿宋" w:cs="仿宋"/>
          <w:spacing w:val="9"/>
          <w:position w:val="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9"/>
          <w:position w:val="1"/>
          <w:sz w:val="32"/>
          <w:szCs w:val="32"/>
          <w:lang w:eastAsia="zh-CN"/>
        </w:rPr>
        <w:t>常州大学商学院</w:t>
      </w:r>
    </w:p>
    <w:p w14:paraId="773E576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560" w:lineRule="exact"/>
        <w:ind w:left="447"/>
        <w:jc w:val="right"/>
        <w:textAlignment w:val="baseline"/>
        <w:rPr>
          <w:rFonts w:hint="default" w:ascii="仿宋" w:hAnsi="仿宋" w:eastAsia="仿宋" w:cs="仿宋"/>
          <w:spacing w:val="9"/>
          <w:position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9"/>
          <w:position w:val="1"/>
          <w:sz w:val="32"/>
          <w:szCs w:val="32"/>
          <w:lang w:val="en-US" w:eastAsia="zh-CN"/>
        </w:rPr>
        <w:t>2025年1月1日</w:t>
      </w:r>
    </w:p>
    <w:p w14:paraId="4189D8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sectPr>
      <w:headerReference r:id="rId5" w:type="default"/>
      <w:pgSz w:w="11906" w:h="16839"/>
      <w:pgMar w:top="400" w:right="1785" w:bottom="113" w:left="1783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5DBE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2ViN2MwMzY3ODQ2NjllMzQxMTQ1OGI3ZjcwZTc1MDYifQ=="/>
  </w:docVars>
  <w:rsids>
    <w:rsidRoot w:val="00000000"/>
    <w:rsid w:val="00211371"/>
    <w:rsid w:val="008B0536"/>
    <w:rsid w:val="00B201B5"/>
    <w:rsid w:val="03ED1984"/>
    <w:rsid w:val="048116A6"/>
    <w:rsid w:val="05530F3F"/>
    <w:rsid w:val="06EA569F"/>
    <w:rsid w:val="079F3753"/>
    <w:rsid w:val="09E057D1"/>
    <w:rsid w:val="0A23066B"/>
    <w:rsid w:val="0C322DE7"/>
    <w:rsid w:val="0C341CF9"/>
    <w:rsid w:val="0C8E2094"/>
    <w:rsid w:val="10357AE2"/>
    <w:rsid w:val="12AF0CEE"/>
    <w:rsid w:val="16564F98"/>
    <w:rsid w:val="17DC7FF6"/>
    <w:rsid w:val="187D53EA"/>
    <w:rsid w:val="18D40E27"/>
    <w:rsid w:val="1CF110A5"/>
    <w:rsid w:val="1D5E306C"/>
    <w:rsid w:val="1D827590"/>
    <w:rsid w:val="1FDC6637"/>
    <w:rsid w:val="20D03F61"/>
    <w:rsid w:val="21C67E02"/>
    <w:rsid w:val="21DD5F15"/>
    <w:rsid w:val="224006D5"/>
    <w:rsid w:val="23C12B22"/>
    <w:rsid w:val="242E6F38"/>
    <w:rsid w:val="26086C3B"/>
    <w:rsid w:val="26B67006"/>
    <w:rsid w:val="27534ECC"/>
    <w:rsid w:val="2A235C1F"/>
    <w:rsid w:val="2A8C05B7"/>
    <w:rsid w:val="2D315AFA"/>
    <w:rsid w:val="2E642E7C"/>
    <w:rsid w:val="2EBF1AC9"/>
    <w:rsid w:val="2F9A360E"/>
    <w:rsid w:val="2FD14541"/>
    <w:rsid w:val="305A05DC"/>
    <w:rsid w:val="314D615B"/>
    <w:rsid w:val="32A17A2C"/>
    <w:rsid w:val="33907B5E"/>
    <w:rsid w:val="34545812"/>
    <w:rsid w:val="34CF6B76"/>
    <w:rsid w:val="3A795E69"/>
    <w:rsid w:val="3A877DD7"/>
    <w:rsid w:val="3C5F6A31"/>
    <w:rsid w:val="3CD071C8"/>
    <w:rsid w:val="3E65476A"/>
    <w:rsid w:val="3EDD66E7"/>
    <w:rsid w:val="402F0229"/>
    <w:rsid w:val="45C43891"/>
    <w:rsid w:val="46FF32EA"/>
    <w:rsid w:val="477E63AD"/>
    <w:rsid w:val="47FA31CE"/>
    <w:rsid w:val="48580F04"/>
    <w:rsid w:val="488E7488"/>
    <w:rsid w:val="49553696"/>
    <w:rsid w:val="4A480BC5"/>
    <w:rsid w:val="513D7D76"/>
    <w:rsid w:val="51646D99"/>
    <w:rsid w:val="519B5423"/>
    <w:rsid w:val="56AF5666"/>
    <w:rsid w:val="56C8194B"/>
    <w:rsid w:val="571A2845"/>
    <w:rsid w:val="573945F7"/>
    <w:rsid w:val="57415EC9"/>
    <w:rsid w:val="595B4CF8"/>
    <w:rsid w:val="59B57FAE"/>
    <w:rsid w:val="606F6DCB"/>
    <w:rsid w:val="61C17A24"/>
    <w:rsid w:val="629F2C68"/>
    <w:rsid w:val="63457EDB"/>
    <w:rsid w:val="67766033"/>
    <w:rsid w:val="6A132A85"/>
    <w:rsid w:val="6B447870"/>
    <w:rsid w:val="6E1A357B"/>
    <w:rsid w:val="6FB54EAA"/>
    <w:rsid w:val="6FE27182"/>
    <w:rsid w:val="7007479E"/>
    <w:rsid w:val="720F6228"/>
    <w:rsid w:val="73A319B5"/>
    <w:rsid w:val="7438738B"/>
    <w:rsid w:val="766E5C13"/>
    <w:rsid w:val="79982AEA"/>
    <w:rsid w:val="7B247F05"/>
    <w:rsid w:val="7B735A7A"/>
    <w:rsid w:val="7CF03072"/>
    <w:rsid w:val="7D3F20B7"/>
    <w:rsid w:val="7DCF4ABD"/>
    <w:rsid w:val="7F2A46A1"/>
    <w:rsid w:val="7FF16F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22</Pages>
  <Words>3410</Words>
  <Characters>3504</Characters>
  <TotalTime>17</TotalTime>
  <ScaleCrop>false</ScaleCrop>
  <LinksUpToDate>false</LinksUpToDate>
  <CharactersWithSpaces>3520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2023-10-08T15:16:00Z</dcterms:created>
  <dc:creator>Windows User</dc:creator>
  <cp:lastModifiedBy>lenovo</cp:lastModifiedBy>
  <cp:lastPrinted>2025-01-02T02:42:00Z</cp:lastPrinted>
  <dcterms:modified xsi:type="dcterms:W3CDTF">2025-09-02T07:58:52Z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2024-09-24T13:36:04Z</vt:filetime>
  </property>
  <property fmtid="{D5CDD505-2E9C-101B-9397-08002B2CF9AE}" pid="4" name="KSOProductBuildVer">
    <vt:lpwstr>2052-12.1.0.21915</vt:lpwstr>
  </property>
  <property fmtid="{D5CDD505-2E9C-101B-9397-08002B2CF9AE}" pid="5" name="ICV">
    <vt:lpwstr>4F2BF59F27D8433AAF7BA1ED426160BB_13</vt:lpwstr>
  </property>
  <property fmtid="{D5CDD505-2E9C-101B-9397-08002B2CF9AE}" pid="6" name="KSOTemplateDocerSaveRecord">
    <vt:lpwstr>eyJoZGlkIjoiNTA5Mzg3ZDI2OWE5NjMxMjVmZjAzN2FlZWNiM2NiOWQifQ==</vt:lpwstr>
  </property>
</Properties>
</file>